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D8" w:rsidRDefault="001D6FD8" w:rsidP="001D6FD8">
      <w:pPr>
        <w:pStyle w:val="CompanyName"/>
        <w:framePr w:w="0" w:hRule="auto" w:wrap="auto" w:vAnchor="margin" w:hAnchor="text" w:xAlign="left" w:yAlign="inline" w:anchorLock="1"/>
        <w:rPr>
          <w:b/>
          <w:bCs/>
          <w:sz w:val="18"/>
          <w:szCs w:val="18"/>
        </w:rPr>
      </w:pPr>
      <w:r>
        <w:rPr>
          <w:b/>
          <w:bCs/>
          <w:sz w:val="18"/>
          <w:szCs w:val="18"/>
        </w:rPr>
        <w:t>USDA Forest Service</w:t>
      </w:r>
    </w:p>
    <w:p w:rsidR="001D6FD8" w:rsidRDefault="001D6FD8" w:rsidP="001D6FD8">
      <w:pPr>
        <w:pStyle w:val="CompanyName"/>
        <w:framePr w:w="0" w:hRule="auto" w:wrap="auto" w:vAnchor="margin" w:hAnchor="text" w:xAlign="left" w:yAlign="inline" w:anchorLock="1"/>
        <w:rPr>
          <w:b/>
          <w:bCs/>
          <w:sz w:val="18"/>
          <w:szCs w:val="18"/>
        </w:rPr>
      </w:pPr>
      <w:smartTag w:uri="urn:schemas-microsoft-com:office:smarttags" w:element="place">
        <w:smartTag w:uri="urn:schemas-microsoft-com:office:smarttags" w:element="PlaceName">
          <w:r>
            <w:rPr>
              <w:b/>
              <w:bCs/>
              <w:sz w:val="18"/>
              <w:szCs w:val="18"/>
            </w:rPr>
            <w:t>Huron</w:t>
          </w:r>
        </w:smartTag>
        <w:r>
          <w:rPr>
            <w:b/>
            <w:bCs/>
            <w:sz w:val="18"/>
            <w:szCs w:val="18"/>
          </w:rPr>
          <w:t xml:space="preserve"> </w:t>
        </w:r>
        <w:smartTag w:uri="urn:schemas-microsoft-com:office:smarttags" w:element="PlaceType">
          <w:r>
            <w:rPr>
              <w:b/>
              <w:bCs/>
              <w:sz w:val="18"/>
              <w:szCs w:val="18"/>
            </w:rPr>
            <w:t>Shores</w:t>
          </w:r>
        </w:smartTag>
      </w:smartTag>
      <w:r>
        <w:rPr>
          <w:b/>
          <w:bCs/>
          <w:sz w:val="18"/>
          <w:szCs w:val="18"/>
        </w:rPr>
        <w:t xml:space="preserve"> Ranger Sation</w:t>
      </w:r>
    </w:p>
    <w:p w:rsidR="001D6FD8" w:rsidRDefault="001D6FD8" w:rsidP="001D6FD8">
      <w:pPr>
        <w:pStyle w:val="CompanyName"/>
        <w:framePr w:w="0" w:hRule="auto" w:wrap="auto" w:vAnchor="margin" w:hAnchor="text" w:xAlign="left" w:yAlign="inline" w:anchorLock="1"/>
        <w:rPr>
          <w:b/>
          <w:bCs/>
          <w:sz w:val="18"/>
          <w:szCs w:val="18"/>
          <w:lang w:val="es-ES"/>
        </w:rPr>
      </w:pPr>
      <w:r>
        <w:rPr>
          <w:b/>
          <w:bCs/>
          <w:sz w:val="18"/>
          <w:szCs w:val="18"/>
          <w:lang w:val="es-ES"/>
        </w:rPr>
        <w:t>5761 N Skeel Ave</w:t>
      </w:r>
    </w:p>
    <w:p w:rsidR="001D6FD8" w:rsidRDefault="001D6FD8" w:rsidP="001D6FD8">
      <w:pPr>
        <w:pStyle w:val="CompanyName"/>
        <w:framePr w:w="0" w:hRule="auto" w:wrap="auto" w:vAnchor="margin" w:hAnchor="text" w:xAlign="left" w:yAlign="inline" w:anchorLock="1"/>
        <w:rPr>
          <w:lang w:val="es-ES"/>
        </w:rPr>
      </w:pPr>
      <w:r>
        <w:rPr>
          <w:b/>
          <w:bCs/>
          <w:sz w:val="18"/>
          <w:szCs w:val="18"/>
          <w:lang w:val="es-ES"/>
        </w:rPr>
        <w:t>Oscoda, mi  48750</w:t>
      </w:r>
    </w:p>
    <w:p w:rsidR="001D6FD8" w:rsidRDefault="001D6FD8" w:rsidP="001D6FD8">
      <w:pPr>
        <w:jc w:val="center"/>
        <w:rPr>
          <w:sz w:val="28"/>
          <w:szCs w:val="28"/>
          <w:lang w:val="es-ES"/>
        </w:rPr>
      </w:pPr>
    </w:p>
    <w:p w:rsidR="001D6FD8" w:rsidRDefault="0027640B" w:rsidP="001D6FD8">
      <w:pPr>
        <w:pStyle w:val="SubtitleCover"/>
        <w:outlineLvl w:val="0"/>
        <w:rPr>
          <w:caps w:val="0"/>
        </w:rPr>
      </w:pPr>
      <w:r>
        <w:rPr>
          <w:b/>
          <w:u w:val="single"/>
        </w:rPr>
        <w:t>Summary of</w:t>
      </w:r>
      <w:r w:rsidR="00280474">
        <w:rPr>
          <w:b/>
          <w:u w:val="single"/>
        </w:rPr>
        <w:t xml:space="preserve"> Red pine bole char</w:t>
      </w:r>
      <w:r>
        <w:rPr>
          <w:b/>
          <w:u w:val="single"/>
        </w:rPr>
        <w:t xml:space="preserve"> </w:t>
      </w:r>
      <w:r w:rsidR="000054ED">
        <w:rPr>
          <w:b/>
          <w:u w:val="single"/>
        </w:rPr>
        <w:t xml:space="preserve">Data </w:t>
      </w:r>
    </w:p>
    <w:p w:rsidR="001D6FD8" w:rsidRDefault="001D6FD8" w:rsidP="001D6FD8">
      <w:pPr>
        <w:pStyle w:val="Subtitle"/>
        <w:outlineLvl w:val="0"/>
        <w:rPr>
          <w:caps/>
        </w:rPr>
      </w:pPr>
    </w:p>
    <w:p w:rsidR="001D6FD8" w:rsidRDefault="001D6FD8" w:rsidP="001D6FD8">
      <w:pPr>
        <w:pStyle w:val="Subtitle"/>
        <w:outlineLvl w:val="0"/>
        <w:rPr>
          <w:sz w:val="28"/>
          <w:szCs w:val="28"/>
        </w:rPr>
      </w:pPr>
      <w:r>
        <w:rPr>
          <w:sz w:val="28"/>
          <w:szCs w:val="28"/>
        </w:rPr>
        <w:t>On The Huron</w:t>
      </w:r>
      <w:r w:rsidR="00280474">
        <w:rPr>
          <w:sz w:val="28"/>
          <w:szCs w:val="28"/>
        </w:rPr>
        <w:t xml:space="preserve"> National Forest</w:t>
      </w:r>
    </w:p>
    <w:p w:rsidR="001D6FD8" w:rsidRDefault="001D6FD8" w:rsidP="001D6FD8">
      <w:pPr>
        <w:pStyle w:val="Subtitle"/>
      </w:pPr>
    </w:p>
    <w:p w:rsidR="001D6FD8" w:rsidRDefault="001D6FD8" w:rsidP="001D6FD8">
      <w:pPr>
        <w:pStyle w:val="Subtitle"/>
      </w:pPr>
    </w:p>
    <w:p w:rsidR="001D6FD8" w:rsidRDefault="001D6FD8" w:rsidP="001D6FD8">
      <w:pPr>
        <w:pStyle w:val="Subtitle"/>
      </w:pPr>
    </w:p>
    <w:p w:rsidR="001D6FD8" w:rsidRDefault="001D6FD8" w:rsidP="001D6FD8">
      <w:pPr>
        <w:pStyle w:val="Subtitle"/>
      </w:pPr>
    </w:p>
    <w:p w:rsidR="001D6FD8" w:rsidRDefault="001D6FD8" w:rsidP="001D6FD8">
      <w:pPr>
        <w:pStyle w:val="Title"/>
      </w:pPr>
      <w:r>
        <w:rPr>
          <w:noProof/>
        </w:rPr>
        <w:drawing>
          <wp:inline distT="0" distB="0" distL="0" distR="0">
            <wp:extent cx="841375" cy="8851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1375" cy="885190"/>
                    </a:xfrm>
                    <a:prstGeom prst="rect">
                      <a:avLst/>
                    </a:prstGeom>
                    <a:noFill/>
                    <a:ln w="9525">
                      <a:noFill/>
                      <a:miter lim="800000"/>
                      <a:headEnd/>
                      <a:tailEnd/>
                    </a:ln>
                  </pic:spPr>
                </pic:pic>
              </a:graphicData>
            </a:graphic>
          </wp:inline>
        </w:drawing>
      </w:r>
    </w:p>
    <w:p w:rsidR="001D6FD8" w:rsidRDefault="001D6FD8" w:rsidP="001D6FD8"/>
    <w:p w:rsidR="001D6FD8" w:rsidRDefault="001D6FD8" w:rsidP="001D6FD8"/>
    <w:p w:rsidR="001D6FD8" w:rsidRDefault="001D6FD8" w:rsidP="001D6FD8"/>
    <w:p w:rsidR="001D6FD8" w:rsidRDefault="001D6FD8" w:rsidP="001D6FD8"/>
    <w:p w:rsidR="001D6FD8" w:rsidRDefault="001D6FD8" w:rsidP="001D6FD8"/>
    <w:p w:rsidR="001D6FD8" w:rsidRDefault="001D6FD8" w:rsidP="001D6FD8"/>
    <w:p w:rsidR="001D6FD8" w:rsidRDefault="001D6FD8" w:rsidP="00C55789">
      <w:pPr>
        <w:pStyle w:val="NoSpacing"/>
      </w:pPr>
      <w:r>
        <w:rPr>
          <w:rFonts w:ascii="Arial (W1)" w:hAnsi="Arial (W1)"/>
        </w:rPr>
        <w:t>Prepared by</w:t>
      </w:r>
      <w:r>
        <w:t xml:space="preserve">: </w:t>
      </w:r>
      <w:r>
        <w:tab/>
        <w:t>__</w:t>
      </w:r>
      <w:r>
        <w:rPr>
          <w:u w:val="single"/>
        </w:rPr>
        <w:t>Brian Stearns</w:t>
      </w:r>
      <w:r>
        <w:t>________________</w:t>
      </w:r>
      <w:r>
        <w:tab/>
        <w:t>Date: ___</w:t>
      </w:r>
      <w:r w:rsidR="00EA41CA">
        <w:rPr>
          <w:u w:val="single"/>
        </w:rPr>
        <w:t>05/15</w:t>
      </w:r>
      <w:r w:rsidRPr="00D625BC">
        <w:rPr>
          <w:u w:val="single"/>
        </w:rPr>
        <w:t>/20</w:t>
      </w:r>
      <w:r w:rsidR="00EA41CA">
        <w:rPr>
          <w:u w:val="single"/>
        </w:rPr>
        <w:t>12</w:t>
      </w:r>
      <w:r>
        <w:t xml:space="preserve">_ </w:t>
      </w:r>
    </w:p>
    <w:p w:rsidR="00C55789" w:rsidRDefault="00C55789" w:rsidP="001D6FD8">
      <w:pPr>
        <w:rPr>
          <w:rFonts w:cs="Arial"/>
        </w:rPr>
      </w:pPr>
    </w:p>
    <w:p w:rsidR="001D6FD8" w:rsidRDefault="001D6FD8" w:rsidP="001D6FD8">
      <w:r>
        <w:tab/>
      </w:r>
      <w:r>
        <w:tab/>
      </w:r>
      <w:r w:rsidR="00C55789">
        <w:t xml:space="preserve">Assistant Module Leader </w:t>
      </w:r>
    </w:p>
    <w:p w:rsidR="001D6FD8" w:rsidRDefault="00C55789" w:rsidP="001D6FD8">
      <w:r>
        <w:tab/>
      </w:r>
      <w:r>
        <w:tab/>
        <w:t xml:space="preserve">Huron-Manistee Interagency </w:t>
      </w:r>
      <w:proofErr w:type="spellStart"/>
      <w:r>
        <w:t>Wildland</w:t>
      </w:r>
      <w:proofErr w:type="spellEnd"/>
      <w:r>
        <w:t xml:space="preserve"> Fire Module</w:t>
      </w:r>
    </w:p>
    <w:p w:rsidR="001D6FD8" w:rsidRDefault="001D6FD8" w:rsidP="008933BD">
      <w:pPr>
        <w:jc w:val="center"/>
        <w:rPr>
          <w:b/>
          <w:sz w:val="24"/>
          <w:szCs w:val="24"/>
          <w:u w:val="single"/>
        </w:rPr>
      </w:pPr>
    </w:p>
    <w:p w:rsidR="001D6FD8" w:rsidRDefault="001D6FD8" w:rsidP="008933BD">
      <w:pPr>
        <w:jc w:val="center"/>
        <w:rPr>
          <w:b/>
          <w:sz w:val="24"/>
          <w:szCs w:val="24"/>
          <w:u w:val="single"/>
        </w:rPr>
      </w:pPr>
    </w:p>
    <w:p w:rsidR="001D6FD8" w:rsidRDefault="001D6FD8" w:rsidP="008933BD">
      <w:pPr>
        <w:jc w:val="center"/>
        <w:rPr>
          <w:b/>
          <w:sz w:val="24"/>
          <w:szCs w:val="24"/>
          <w:u w:val="single"/>
        </w:rPr>
      </w:pPr>
    </w:p>
    <w:p w:rsidR="00EA41CA" w:rsidRDefault="00EA41CA" w:rsidP="008933BD">
      <w:pPr>
        <w:jc w:val="center"/>
        <w:rPr>
          <w:b/>
          <w:sz w:val="24"/>
          <w:szCs w:val="24"/>
          <w:u w:val="single"/>
        </w:rPr>
      </w:pPr>
    </w:p>
    <w:p w:rsidR="001D6FD8" w:rsidRDefault="001D6FD8" w:rsidP="008933BD">
      <w:pPr>
        <w:jc w:val="center"/>
        <w:rPr>
          <w:b/>
          <w:sz w:val="24"/>
          <w:szCs w:val="24"/>
          <w:u w:val="single"/>
        </w:rPr>
      </w:pPr>
    </w:p>
    <w:p w:rsidR="0027640B" w:rsidRPr="00280474" w:rsidRDefault="0027640B" w:rsidP="0027640B">
      <w:pPr>
        <w:pStyle w:val="NoSpacing"/>
        <w:rPr>
          <w:rFonts w:ascii="Tahoma" w:hAnsi="Tahoma" w:cs="Tahoma"/>
          <w:b/>
          <w:sz w:val="20"/>
          <w:szCs w:val="20"/>
        </w:rPr>
      </w:pPr>
      <w:r w:rsidRPr="00280474">
        <w:rPr>
          <w:rFonts w:ascii="Tahoma" w:hAnsi="Tahoma" w:cs="Tahoma"/>
          <w:b/>
          <w:sz w:val="20"/>
          <w:szCs w:val="20"/>
        </w:rPr>
        <w:lastRenderedPageBreak/>
        <w:t>Purpose</w:t>
      </w:r>
    </w:p>
    <w:p w:rsidR="0027640B" w:rsidRPr="00280474" w:rsidRDefault="008A4049" w:rsidP="0027640B">
      <w:pPr>
        <w:rPr>
          <w:rFonts w:ascii="Tahoma" w:hAnsi="Tahoma" w:cs="Tahoma"/>
          <w:sz w:val="20"/>
          <w:szCs w:val="20"/>
        </w:rPr>
      </w:pPr>
      <w:r w:rsidRPr="00280474">
        <w:rPr>
          <w:rFonts w:ascii="Tahoma" w:hAnsi="Tahoma" w:cs="Tahoma"/>
          <w:sz w:val="20"/>
          <w:szCs w:val="20"/>
        </w:rPr>
        <w:t>The informati</w:t>
      </w:r>
      <w:r w:rsidR="00F854B6" w:rsidRPr="00280474">
        <w:rPr>
          <w:rFonts w:ascii="Tahoma" w:hAnsi="Tahoma" w:cs="Tahoma"/>
          <w:sz w:val="20"/>
          <w:szCs w:val="20"/>
        </w:rPr>
        <w:t>on in this summary is based on data</w:t>
      </w:r>
      <w:r w:rsidRPr="00280474">
        <w:rPr>
          <w:rFonts w:ascii="Tahoma" w:hAnsi="Tahoma" w:cs="Tahoma"/>
          <w:sz w:val="20"/>
          <w:szCs w:val="20"/>
        </w:rPr>
        <w:t xml:space="preserve"> gathered by the Huron Shores Prescribed Burning Program on the Huron-Manistee National Forest.  </w:t>
      </w:r>
      <w:r w:rsidR="00D11188" w:rsidRPr="00280474">
        <w:rPr>
          <w:rFonts w:ascii="Tahoma" w:hAnsi="Tahoma" w:cs="Tahoma"/>
          <w:sz w:val="20"/>
          <w:szCs w:val="20"/>
        </w:rPr>
        <w:t xml:space="preserve">The prescribed burn projects consisted of </w:t>
      </w:r>
      <w:r w:rsidR="00A851D0" w:rsidRPr="00280474">
        <w:rPr>
          <w:rFonts w:ascii="Tahoma" w:hAnsi="Tahoma" w:cs="Tahoma"/>
          <w:sz w:val="20"/>
          <w:szCs w:val="20"/>
        </w:rPr>
        <w:t xml:space="preserve">Brittle </w:t>
      </w:r>
      <w:r w:rsidR="00384595" w:rsidRPr="00280474">
        <w:rPr>
          <w:rFonts w:ascii="Tahoma" w:hAnsi="Tahoma" w:cs="Tahoma"/>
          <w:sz w:val="20"/>
          <w:szCs w:val="20"/>
        </w:rPr>
        <w:t>Landscape Prescribed Burn Project</w:t>
      </w:r>
      <w:r w:rsidR="00D11188" w:rsidRPr="00280474">
        <w:rPr>
          <w:rFonts w:ascii="Tahoma" w:hAnsi="Tahoma" w:cs="Tahoma"/>
          <w:sz w:val="20"/>
          <w:szCs w:val="20"/>
        </w:rPr>
        <w:t xml:space="preserve">, </w:t>
      </w:r>
      <w:r w:rsidR="00A851D0" w:rsidRPr="00280474">
        <w:rPr>
          <w:rFonts w:ascii="Tahoma" w:hAnsi="Tahoma" w:cs="Tahoma"/>
          <w:sz w:val="20"/>
          <w:szCs w:val="20"/>
        </w:rPr>
        <w:t xml:space="preserve">Memorable </w:t>
      </w:r>
      <w:r w:rsidR="00384595" w:rsidRPr="00280474">
        <w:rPr>
          <w:rFonts w:ascii="Tahoma" w:hAnsi="Tahoma" w:cs="Tahoma"/>
          <w:sz w:val="20"/>
          <w:szCs w:val="20"/>
        </w:rPr>
        <w:t>Prescribed Burn Project</w:t>
      </w:r>
      <w:r w:rsidR="00741D39" w:rsidRPr="00280474">
        <w:rPr>
          <w:rFonts w:ascii="Tahoma" w:hAnsi="Tahoma" w:cs="Tahoma"/>
          <w:sz w:val="20"/>
          <w:szCs w:val="20"/>
        </w:rPr>
        <w:t>,</w:t>
      </w:r>
      <w:r w:rsidR="00D11188" w:rsidRPr="00280474">
        <w:rPr>
          <w:rFonts w:ascii="Tahoma" w:hAnsi="Tahoma" w:cs="Tahoma"/>
          <w:sz w:val="20"/>
          <w:szCs w:val="20"/>
        </w:rPr>
        <w:t xml:space="preserve"> </w:t>
      </w:r>
      <w:r w:rsidR="0024019B" w:rsidRPr="00280474">
        <w:rPr>
          <w:rFonts w:ascii="Tahoma" w:hAnsi="Tahoma" w:cs="Tahoma"/>
          <w:sz w:val="20"/>
          <w:szCs w:val="20"/>
        </w:rPr>
        <w:t xml:space="preserve">and </w:t>
      </w:r>
      <w:r w:rsidR="00741D39" w:rsidRPr="00280474">
        <w:rPr>
          <w:rFonts w:ascii="Tahoma" w:hAnsi="Tahoma" w:cs="Tahoma"/>
          <w:sz w:val="20"/>
          <w:szCs w:val="20"/>
        </w:rPr>
        <w:t xml:space="preserve">South Branch </w:t>
      </w:r>
      <w:proofErr w:type="spellStart"/>
      <w:r w:rsidR="00741D39" w:rsidRPr="00280474">
        <w:rPr>
          <w:rFonts w:ascii="Tahoma" w:hAnsi="Tahoma" w:cs="Tahoma"/>
          <w:sz w:val="20"/>
          <w:szCs w:val="20"/>
        </w:rPr>
        <w:t>Wickert</w:t>
      </w:r>
      <w:proofErr w:type="spellEnd"/>
      <w:r w:rsidR="00741D39" w:rsidRPr="00280474">
        <w:rPr>
          <w:rFonts w:ascii="Tahoma" w:hAnsi="Tahoma" w:cs="Tahoma"/>
          <w:sz w:val="20"/>
          <w:szCs w:val="20"/>
        </w:rPr>
        <w:t xml:space="preserve"> Hills</w:t>
      </w:r>
      <w:r w:rsidR="0024019B" w:rsidRPr="00280474">
        <w:rPr>
          <w:rFonts w:ascii="Tahoma" w:hAnsi="Tahoma" w:cs="Tahoma"/>
          <w:sz w:val="20"/>
          <w:szCs w:val="20"/>
        </w:rPr>
        <w:t xml:space="preserve">. </w:t>
      </w:r>
      <w:r w:rsidR="00D11188" w:rsidRPr="00280474">
        <w:rPr>
          <w:rFonts w:ascii="Tahoma" w:hAnsi="Tahoma" w:cs="Tahoma"/>
          <w:sz w:val="20"/>
          <w:szCs w:val="20"/>
        </w:rPr>
        <w:t xml:space="preserve"> </w:t>
      </w:r>
      <w:r w:rsidR="00E700A8">
        <w:rPr>
          <w:rFonts w:ascii="Tahoma" w:hAnsi="Tahoma" w:cs="Tahoma"/>
          <w:sz w:val="20"/>
          <w:szCs w:val="20"/>
        </w:rPr>
        <w:t xml:space="preserve">Projects were conducted from 2004 to present day.  </w:t>
      </w:r>
      <w:r w:rsidRPr="00280474">
        <w:rPr>
          <w:rFonts w:ascii="Tahoma" w:hAnsi="Tahoma" w:cs="Tahoma"/>
          <w:sz w:val="20"/>
          <w:szCs w:val="20"/>
        </w:rPr>
        <w:t>All of the projects were located in the Tawas District of the Huron National Forest in Iosco County, Michigan</w:t>
      </w:r>
      <w:r w:rsidR="00FD7B70" w:rsidRPr="00280474">
        <w:rPr>
          <w:rFonts w:ascii="Tahoma" w:hAnsi="Tahoma" w:cs="Tahoma"/>
          <w:sz w:val="20"/>
          <w:szCs w:val="20"/>
        </w:rPr>
        <w:t xml:space="preserve"> (figure 1)</w:t>
      </w:r>
      <w:r w:rsidRPr="00280474">
        <w:rPr>
          <w:rFonts w:ascii="Tahoma" w:hAnsi="Tahoma" w:cs="Tahoma"/>
          <w:sz w:val="20"/>
          <w:szCs w:val="20"/>
        </w:rPr>
        <w:t xml:space="preserve">. </w:t>
      </w:r>
    </w:p>
    <w:p w:rsidR="0027640B" w:rsidRPr="00280474" w:rsidRDefault="0027640B" w:rsidP="0027640B">
      <w:pPr>
        <w:pStyle w:val="NoSpacing"/>
        <w:rPr>
          <w:rFonts w:ascii="Tahoma" w:hAnsi="Tahoma" w:cs="Tahoma"/>
          <w:b/>
          <w:sz w:val="20"/>
          <w:szCs w:val="20"/>
        </w:rPr>
      </w:pPr>
      <w:proofErr w:type="gramStart"/>
      <w:r w:rsidRPr="00280474">
        <w:rPr>
          <w:rFonts w:ascii="Tahoma" w:hAnsi="Tahoma" w:cs="Tahoma"/>
          <w:b/>
          <w:sz w:val="20"/>
          <w:szCs w:val="20"/>
        </w:rPr>
        <w:t>Figure 1.</w:t>
      </w:r>
      <w:proofErr w:type="gramEnd"/>
      <w:r w:rsidRPr="00280474">
        <w:rPr>
          <w:rFonts w:ascii="Tahoma" w:hAnsi="Tahoma" w:cs="Tahoma"/>
          <w:b/>
          <w:sz w:val="20"/>
          <w:szCs w:val="20"/>
        </w:rPr>
        <w:t xml:space="preserve">  Area map showing the burn units</w:t>
      </w:r>
    </w:p>
    <w:p w:rsidR="0027640B" w:rsidRDefault="0027640B" w:rsidP="0027640B">
      <w:pPr>
        <w:rPr>
          <w:rFonts w:ascii="Tahoma" w:hAnsi="Tahoma" w:cs="Tahoma"/>
          <w:sz w:val="20"/>
          <w:szCs w:val="20"/>
        </w:rPr>
      </w:pPr>
      <w:r>
        <w:rPr>
          <w:noProof/>
        </w:rPr>
        <w:drawing>
          <wp:inline distT="0" distB="0" distL="0" distR="0" wp14:anchorId="1D7DCC3A" wp14:editId="7E1090E1">
            <wp:extent cx="5603443" cy="2749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07130" cy="2750849"/>
                    </a:xfrm>
                    <a:prstGeom prst="rect">
                      <a:avLst/>
                    </a:prstGeom>
                  </pic:spPr>
                </pic:pic>
              </a:graphicData>
            </a:graphic>
          </wp:inline>
        </w:drawing>
      </w:r>
    </w:p>
    <w:p w:rsidR="0027640B" w:rsidRPr="00280474" w:rsidRDefault="00E700A8" w:rsidP="0027640B">
      <w:pPr>
        <w:pStyle w:val="NoSpacing"/>
        <w:rPr>
          <w:rFonts w:ascii="Tahoma" w:hAnsi="Tahoma" w:cs="Tahoma"/>
          <w:b/>
          <w:sz w:val="20"/>
          <w:szCs w:val="20"/>
        </w:rPr>
      </w:pPr>
      <w:r>
        <w:rPr>
          <w:rFonts w:ascii="Tahoma" w:hAnsi="Tahoma" w:cs="Tahoma"/>
          <w:b/>
          <w:sz w:val="20"/>
          <w:szCs w:val="20"/>
        </w:rPr>
        <w:t>Background</w:t>
      </w:r>
    </w:p>
    <w:p w:rsidR="00662AFD" w:rsidRPr="00280474" w:rsidRDefault="0027640B" w:rsidP="002259BC">
      <w:pPr>
        <w:rPr>
          <w:rFonts w:ascii="Tahoma" w:hAnsi="Tahoma" w:cs="Tahoma"/>
          <w:sz w:val="20"/>
          <w:szCs w:val="20"/>
        </w:rPr>
      </w:pPr>
      <w:r w:rsidRPr="00280474">
        <w:rPr>
          <w:rFonts w:ascii="Tahoma" w:hAnsi="Tahoma" w:cs="Tahoma"/>
          <w:sz w:val="20"/>
          <w:szCs w:val="20"/>
        </w:rPr>
        <w:t>The</w:t>
      </w:r>
      <w:r w:rsidRPr="00280474">
        <w:rPr>
          <w:rFonts w:ascii="Tahoma" w:hAnsi="Tahoma" w:cs="Tahoma"/>
          <w:sz w:val="20"/>
          <w:szCs w:val="20"/>
        </w:rPr>
        <w:t xml:space="preserve"> burn units are approximately 91</w:t>
      </w:r>
      <w:r w:rsidRPr="00280474">
        <w:rPr>
          <w:rFonts w:ascii="Tahoma" w:hAnsi="Tahoma" w:cs="Tahoma"/>
          <w:sz w:val="20"/>
          <w:szCs w:val="20"/>
        </w:rPr>
        <w:t xml:space="preserve">% forested, consist of 98% ground cover, are almost entirely comprised of dry sandy plains, and major precipitation events occur when soils are frost-free.  The onsite conditions are favorable for good water infiltration and sub-surface percolation.  Average age of the </w:t>
      </w:r>
      <w:proofErr w:type="spellStart"/>
      <w:r w:rsidRPr="00280474">
        <w:rPr>
          <w:rFonts w:ascii="Tahoma" w:hAnsi="Tahoma" w:cs="Tahoma"/>
          <w:sz w:val="20"/>
          <w:szCs w:val="20"/>
        </w:rPr>
        <w:t>overstory</w:t>
      </w:r>
      <w:proofErr w:type="spellEnd"/>
      <w:r w:rsidRPr="00280474">
        <w:rPr>
          <w:rFonts w:ascii="Tahoma" w:hAnsi="Tahoma" w:cs="Tahoma"/>
          <w:sz w:val="20"/>
          <w:szCs w:val="20"/>
        </w:rPr>
        <w:t xml:space="preserve"> is 50-70 years, and is comprises of </w:t>
      </w:r>
      <w:r w:rsidR="00E700A8">
        <w:rPr>
          <w:rFonts w:ascii="Tahoma" w:hAnsi="Tahoma" w:cs="Tahoma"/>
          <w:sz w:val="20"/>
          <w:szCs w:val="20"/>
        </w:rPr>
        <w:t xml:space="preserve">primarily </w:t>
      </w:r>
      <w:r w:rsidRPr="00280474">
        <w:rPr>
          <w:rFonts w:ascii="Tahoma" w:hAnsi="Tahoma" w:cs="Tahoma"/>
          <w:sz w:val="20"/>
          <w:szCs w:val="20"/>
        </w:rPr>
        <w:t>red pine (</w:t>
      </w:r>
      <w:proofErr w:type="spellStart"/>
      <w:r w:rsidRPr="00280474">
        <w:rPr>
          <w:rFonts w:ascii="Tahoma" w:hAnsi="Tahoma" w:cs="Tahoma"/>
          <w:sz w:val="20"/>
          <w:szCs w:val="20"/>
        </w:rPr>
        <w:t>pinus</w:t>
      </w:r>
      <w:proofErr w:type="spellEnd"/>
      <w:r w:rsidRPr="00280474">
        <w:rPr>
          <w:rFonts w:ascii="Tahoma" w:hAnsi="Tahoma" w:cs="Tahoma"/>
          <w:sz w:val="20"/>
          <w:szCs w:val="20"/>
        </w:rPr>
        <w:t xml:space="preserve"> </w:t>
      </w:r>
      <w:proofErr w:type="spellStart"/>
      <w:r w:rsidRPr="00280474">
        <w:rPr>
          <w:rFonts w:ascii="Tahoma" w:hAnsi="Tahoma" w:cs="Tahoma"/>
          <w:sz w:val="20"/>
          <w:szCs w:val="20"/>
        </w:rPr>
        <w:t>resinosa</w:t>
      </w:r>
      <w:proofErr w:type="spellEnd"/>
      <w:r w:rsidRPr="00280474">
        <w:rPr>
          <w:rFonts w:ascii="Tahoma" w:hAnsi="Tahoma" w:cs="Tahoma"/>
          <w:sz w:val="20"/>
          <w:szCs w:val="20"/>
        </w:rPr>
        <w:t>), northern pin oak (</w:t>
      </w:r>
      <w:proofErr w:type="spellStart"/>
      <w:r w:rsidRPr="00280474">
        <w:rPr>
          <w:rFonts w:ascii="Tahoma" w:hAnsi="Tahoma" w:cs="Tahoma"/>
          <w:sz w:val="20"/>
          <w:szCs w:val="20"/>
        </w:rPr>
        <w:t>quercus</w:t>
      </w:r>
      <w:proofErr w:type="spellEnd"/>
      <w:r w:rsidRPr="00280474">
        <w:rPr>
          <w:rFonts w:ascii="Tahoma" w:hAnsi="Tahoma" w:cs="Tahoma"/>
          <w:sz w:val="20"/>
          <w:szCs w:val="20"/>
        </w:rPr>
        <w:t xml:space="preserve"> </w:t>
      </w:r>
      <w:proofErr w:type="spellStart"/>
      <w:r w:rsidRPr="00280474">
        <w:rPr>
          <w:rFonts w:ascii="Tahoma" w:hAnsi="Tahoma" w:cs="Tahoma"/>
          <w:sz w:val="20"/>
          <w:szCs w:val="20"/>
        </w:rPr>
        <w:t>ellipsoidalis</w:t>
      </w:r>
      <w:proofErr w:type="spellEnd"/>
      <w:r w:rsidRPr="00280474">
        <w:rPr>
          <w:rFonts w:ascii="Tahoma" w:hAnsi="Tahoma" w:cs="Tahoma"/>
          <w:sz w:val="20"/>
          <w:szCs w:val="20"/>
        </w:rPr>
        <w:t>), and some jack pine (</w:t>
      </w:r>
      <w:proofErr w:type="spellStart"/>
      <w:r w:rsidRPr="00280474">
        <w:rPr>
          <w:rFonts w:ascii="Tahoma" w:hAnsi="Tahoma" w:cs="Tahoma"/>
          <w:sz w:val="20"/>
          <w:szCs w:val="20"/>
        </w:rPr>
        <w:t>pinus</w:t>
      </w:r>
      <w:proofErr w:type="spellEnd"/>
      <w:r w:rsidRPr="00280474">
        <w:rPr>
          <w:rFonts w:ascii="Tahoma" w:hAnsi="Tahoma" w:cs="Tahoma"/>
          <w:sz w:val="20"/>
          <w:szCs w:val="20"/>
        </w:rPr>
        <w:t xml:space="preserve"> </w:t>
      </w:r>
      <w:proofErr w:type="spellStart"/>
      <w:r w:rsidRPr="00280474">
        <w:rPr>
          <w:rFonts w:ascii="Tahoma" w:hAnsi="Tahoma" w:cs="Tahoma"/>
          <w:sz w:val="20"/>
          <w:szCs w:val="20"/>
        </w:rPr>
        <w:t>banksiana</w:t>
      </w:r>
      <w:proofErr w:type="spellEnd"/>
      <w:r w:rsidRPr="00280474">
        <w:rPr>
          <w:rFonts w:ascii="Tahoma" w:hAnsi="Tahoma" w:cs="Tahoma"/>
          <w:sz w:val="20"/>
          <w:szCs w:val="20"/>
        </w:rPr>
        <w:t>).</w:t>
      </w:r>
      <w:r w:rsidR="00E700A8">
        <w:rPr>
          <w:rFonts w:ascii="Tahoma" w:hAnsi="Tahoma" w:cs="Tahoma"/>
          <w:sz w:val="20"/>
          <w:szCs w:val="20"/>
        </w:rPr>
        <w:t xml:space="preserve">  All of the burn units have had some harvest activates to thin the stands.</w:t>
      </w:r>
      <w:r w:rsidRPr="00280474">
        <w:rPr>
          <w:rFonts w:ascii="Tahoma" w:hAnsi="Tahoma" w:cs="Tahoma"/>
          <w:sz w:val="20"/>
          <w:szCs w:val="20"/>
        </w:rPr>
        <w:t xml:space="preserve">  Surface fuels are comprised primarily of needle cast and Pennsylvania sedge (</w:t>
      </w:r>
      <w:proofErr w:type="spellStart"/>
      <w:r w:rsidRPr="00280474">
        <w:rPr>
          <w:rFonts w:ascii="Tahoma" w:hAnsi="Tahoma" w:cs="Tahoma"/>
          <w:sz w:val="20"/>
          <w:szCs w:val="20"/>
        </w:rPr>
        <w:t>Carex</w:t>
      </w:r>
      <w:proofErr w:type="spellEnd"/>
      <w:r w:rsidRPr="00280474">
        <w:rPr>
          <w:rFonts w:ascii="Tahoma" w:hAnsi="Tahoma" w:cs="Tahoma"/>
          <w:sz w:val="20"/>
          <w:szCs w:val="20"/>
        </w:rPr>
        <w:t xml:space="preserve"> </w:t>
      </w:r>
      <w:proofErr w:type="spellStart"/>
      <w:r w:rsidRPr="00280474">
        <w:rPr>
          <w:rFonts w:ascii="Tahoma" w:hAnsi="Tahoma" w:cs="Tahoma"/>
          <w:sz w:val="20"/>
          <w:szCs w:val="20"/>
        </w:rPr>
        <w:t>pensylvanica</w:t>
      </w:r>
      <w:proofErr w:type="spellEnd"/>
      <w:r w:rsidRPr="00280474">
        <w:rPr>
          <w:rFonts w:ascii="Tahoma" w:hAnsi="Tahoma" w:cs="Tahoma"/>
          <w:sz w:val="20"/>
          <w:szCs w:val="20"/>
        </w:rPr>
        <w:t xml:space="preserve">).  The pre-burn primary fuel models are the standard </w:t>
      </w:r>
      <w:proofErr w:type="gramStart"/>
      <w:r w:rsidRPr="00280474">
        <w:rPr>
          <w:rFonts w:ascii="Tahoma" w:hAnsi="Tahoma" w:cs="Tahoma"/>
          <w:sz w:val="20"/>
          <w:szCs w:val="20"/>
        </w:rPr>
        <w:t>TU2,</w:t>
      </w:r>
      <w:proofErr w:type="gramEnd"/>
      <w:r w:rsidRPr="00280474">
        <w:rPr>
          <w:rFonts w:ascii="Tahoma" w:hAnsi="Tahoma" w:cs="Tahoma"/>
          <w:sz w:val="20"/>
          <w:szCs w:val="20"/>
        </w:rPr>
        <w:t xml:space="preserve"> and TL6 with main fuel being grasses, sedges, blueberry, and needle cast.  In Brittle burn blocks 4, 9, and 10 pockets of slash from logging activities existed typically 12’ X 12’.  The pockets of slash increased fire behavior within those areas.  </w:t>
      </w:r>
      <w:r w:rsidR="00AF0699" w:rsidRPr="00280474">
        <w:rPr>
          <w:rFonts w:ascii="Tahoma" w:hAnsi="Tahoma" w:cs="Tahoma"/>
          <w:sz w:val="20"/>
          <w:szCs w:val="20"/>
        </w:rPr>
        <w:t>Fuel loading is displayed in table 1.</w:t>
      </w:r>
    </w:p>
    <w:p w:rsidR="0027640B" w:rsidRPr="00280474" w:rsidRDefault="0027640B" w:rsidP="0027640B">
      <w:pPr>
        <w:pStyle w:val="NoSpacing"/>
        <w:rPr>
          <w:rFonts w:ascii="Tahoma" w:hAnsi="Tahoma" w:cs="Tahoma"/>
          <w:b/>
          <w:sz w:val="20"/>
          <w:szCs w:val="20"/>
        </w:rPr>
      </w:pPr>
      <w:proofErr w:type="gramStart"/>
      <w:r w:rsidRPr="00280474">
        <w:rPr>
          <w:rFonts w:ascii="Tahoma" w:hAnsi="Tahoma" w:cs="Tahoma"/>
          <w:b/>
          <w:sz w:val="20"/>
          <w:szCs w:val="20"/>
        </w:rPr>
        <w:t>Table 1.</w:t>
      </w:r>
      <w:proofErr w:type="gramEnd"/>
      <w:r w:rsidRPr="00280474">
        <w:rPr>
          <w:rFonts w:ascii="Tahoma" w:hAnsi="Tahoma" w:cs="Tahoma"/>
          <w:b/>
          <w:sz w:val="20"/>
          <w:szCs w:val="20"/>
        </w:rPr>
        <w:t xml:space="preserve">  </w:t>
      </w:r>
      <w:r w:rsidRPr="00280474">
        <w:rPr>
          <w:rFonts w:ascii="Tahoma" w:hAnsi="Tahoma" w:cs="Tahoma"/>
          <w:b/>
          <w:sz w:val="20"/>
          <w:szCs w:val="20"/>
        </w:rPr>
        <w:t>Fuel Loading Information</w:t>
      </w: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69"/>
        <w:gridCol w:w="882"/>
        <w:gridCol w:w="971"/>
        <w:gridCol w:w="224"/>
        <w:gridCol w:w="1666"/>
        <w:gridCol w:w="789"/>
        <w:gridCol w:w="905"/>
        <w:gridCol w:w="1486"/>
      </w:tblGrid>
      <w:tr w:rsidR="0027640B" w:rsidRPr="0027640B" w:rsidTr="00E700A8">
        <w:trPr>
          <w:trHeight w:val="255"/>
        </w:trPr>
        <w:tc>
          <w:tcPr>
            <w:tcW w:w="0" w:type="auto"/>
            <w:gridSpan w:val="4"/>
            <w:shd w:val="clear" w:color="auto" w:fill="FABF8F" w:themeFill="accent6" w:themeFillTint="99"/>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PREBURN</w:t>
            </w:r>
          </w:p>
        </w:tc>
        <w:tc>
          <w:tcPr>
            <w:tcW w:w="0" w:type="auto"/>
            <w:shd w:val="clear" w:color="auto" w:fill="FABF8F" w:themeFill="accent6" w:themeFillTint="99"/>
            <w:noWrap/>
            <w:vAlign w:val="bottom"/>
            <w:hideMark/>
          </w:tcPr>
          <w:p w:rsidR="0027640B" w:rsidRPr="0027640B" w:rsidRDefault="0027640B" w:rsidP="0027640B">
            <w:pPr>
              <w:pStyle w:val="NoSpacing"/>
              <w:rPr>
                <w:rFonts w:ascii="Arial" w:eastAsia="Times New Roman" w:hAnsi="Arial" w:cs="Arial"/>
                <w:sz w:val="20"/>
                <w:szCs w:val="20"/>
              </w:rPr>
            </w:pPr>
          </w:p>
        </w:tc>
        <w:tc>
          <w:tcPr>
            <w:tcW w:w="4812" w:type="dxa"/>
            <w:gridSpan w:val="4"/>
            <w:shd w:val="clear" w:color="auto" w:fill="FABF8F" w:themeFill="accent6" w:themeFillTint="99"/>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POSTBURN</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Block #</w:t>
            </w:r>
          </w:p>
        </w:tc>
        <w:tc>
          <w:tcPr>
            <w:tcW w:w="0" w:type="auto"/>
            <w:shd w:val="clear" w:color="000000" w:fill="FFFF00"/>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BLK 4</w:t>
            </w:r>
          </w:p>
        </w:tc>
        <w:tc>
          <w:tcPr>
            <w:tcW w:w="0" w:type="auto"/>
            <w:shd w:val="clear" w:color="000000" w:fill="FFFF00"/>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BLK 10</w:t>
            </w:r>
          </w:p>
        </w:tc>
        <w:tc>
          <w:tcPr>
            <w:tcW w:w="0" w:type="auto"/>
            <w:shd w:val="clear" w:color="000000" w:fill="92D050"/>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Average</w:t>
            </w:r>
          </w:p>
        </w:tc>
        <w:tc>
          <w:tcPr>
            <w:tcW w:w="0" w:type="auto"/>
            <w:shd w:val="clear" w:color="auto" w:fill="auto"/>
            <w:noWrap/>
            <w:vAlign w:val="bottom"/>
            <w:hideMark/>
          </w:tcPr>
          <w:p w:rsidR="0027640B" w:rsidRPr="0027640B" w:rsidRDefault="0027640B" w:rsidP="0027640B">
            <w:pPr>
              <w:pStyle w:val="NoSpacing"/>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Block #</w:t>
            </w:r>
          </w:p>
        </w:tc>
        <w:tc>
          <w:tcPr>
            <w:tcW w:w="0" w:type="auto"/>
            <w:shd w:val="clear" w:color="000000" w:fill="FFFF00"/>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BLK 4</w:t>
            </w:r>
          </w:p>
        </w:tc>
        <w:tc>
          <w:tcPr>
            <w:tcW w:w="0" w:type="auto"/>
            <w:shd w:val="clear" w:color="000000" w:fill="FFFF00"/>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BLK 10</w:t>
            </w:r>
          </w:p>
        </w:tc>
        <w:tc>
          <w:tcPr>
            <w:tcW w:w="1447" w:type="dxa"/>
            <w:shd w:val="clear" w:color="000000" w:fill="92D050"/>
            <w:noWrap/>
            <w:vAlign w:val="bottom"/>
            <w:hideMark/>
          </w:tcPr>
          <w:p w:rsidR="0027640B" w:rsidRPr="0027640B" w:rsidRDefault="0027640B" w:rsidP="0027640B">
            <w:pPr>
              <w:pStyle w:val="NoSpacing"/>
              <w:rPr>
                <w:rFonts w:ascii="Arial" w:eastAsia="Times New Roman" w:hAnsi="Arial" w:cs="Arial"/>
                <w:sz w:val="20"/>
                <w:szCs w:val="20"/>
              </w:rPr>
            </w:pPr>
            <w:r w:rsidRPr="0027640B">
              <w:rPr>
                <w:rFonts w:ascii="Arial" w:eastAsia="Times New Roman" w:hAnsi="Arial" w:cs="Arial"/>
                <w:sz w:val="20"/>
                <w:szCs w:val="20"/>
              </w:rPr>
              <w:t>Average</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 </w:t>
            </w:r>
            <w:proofErr w:type="spellStart"/>
            <w:r w:rsidRPr="0027640B">
              <w:rPr>
                <w:rFonts w:ascii="Arial" w:eastAsia="Times New Roman" w:hAnsi="Arial" w:cs="Arial"/>
                <w:b/>
                <w:bCs/>
                <w:sz w:val="20"/>
                <w:szCs w:val="20"/>
              </w:rPr>
              <w:t>hr</w:t>
            </w:r>
            <w:proofErr w:type="spellEnd"/>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0.029</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0.032</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0.031</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 </w:t>
            </w:r>
            <w:proofErr w:type="spellStart"/>
            <w:r w:rsidRPr="0027640B">
              <w:rPr>
                <w:rFonts w:ascii="Arial" w:eastAsia="Times New Roman" w:hAnsi="Arial" w:cs="Arial"/>
                <w:b/>
                <w:bCs/>
                <w:sz w:val="20"/>
                <w:szCs w:val="20"/>
              </w:rPr>
              <w:t>hr</w:t>
            </w:r>
            <w:proofErr w:type="spellEnd"/>
          </w:p>
        </w:tc>
        <w:tc>
          <w:tcPr>
            <w:tcW w:w="0" w:type="auto"/>
            <w:shd w:val="clear" w:color="000000" w:fill="FFCC00"/>
            <w:noWrap/>
            <w:vAlign w:val="bottom"/>
            <w:hideMark/>
          </w:tcPr>
          <w:p w:rsidR="0027640B" w:rsidRPr="0027640B" w:rsidRDefault="0027640B" w:rsidP="0027640B">
            <w:pPr>
              <w:spacing w:after="0" w:line="240" w:lineRule="auto"/>
              <w:jc w:val="right"/>
              <w:rPr>
                <w:rFonts w:ascii="Arial" w:eastAsia="Times New Roman" w:hAnsi="Arial" w:cs="Arial"/>
                <w:b/>
                <w:bCs/>
                <w:sz w:val="20"/>
                <w:szCs w:val="20"/>
              </w:rPr>
            </w:pPr>
            <w:r w:rsidRPr="0027640B">
              <w:rPr>
                <w:rFonts w:ascii="Arial" w:eastAsia="Times New Roman" w:hAnsi="Arial" w:cs="Arial"/>
                <w:b/>
                <w:bCs/>
                <w:sz w:val="20"/>
                <w:szCs w:val="20"/>
              </w:rPr>
              <w:t>0.029</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0.018</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0.024</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10 </w:t>
            </w:r>
            <w:proofErr w:type="spellStart"/>
            <w:r w:rsidRPr="0027640B">
              <w:rPr>
                <w:rFonts w:ascii="Arial" w:eastAsia="Times New Roman" w:hAnsi="Arial" w:cs="Arial"/>
                <w:b/>
                <w:bCs/>
                <w:sz w:val="20"/>
                <w:szCs w:val="20"/>
              </w:rPr>
              <w:t>hr</w:t>
            </w:r>
            <w:proofErr w:type="spellEnd"/>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0.119</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0.119</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0.119</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10 </w:t>
            </w:r>
            <w:proofErr w:type="spellStart"/>
            <w:r w:rsidRPr="0027640B">
              <w:rPr>
                <w:rFonts w:ascii="Arial" w:eastAsia="Times New Roman" w:hAnsi="Arial" w:cs="Arial"/>
                <w:b/>
                <w:bCs/>
                <w:sz w:val="20"/>
                <w:szCs w:val="20"/>
              </w:rPr>
              <w:t>hr</w:t>
            </w:r>
            <w:proofErr w:type="spellEnd"/>
          </w:p>
        </w:tc>
        <w:tc>
          <w:tcPr>
            <w:tcW w:w="0" w:type="auto"/>
            <w:shd w:val="clear" w:color="000000" w:fill="FFCC00"/>
            <w:noWrap/>
            <w:vAlign w:val="bottom"/>
            <w:hideMark/>
          </w:tcPr>
          <w:p w:rsidR="0027640B" w:rsidRPr="0027640B" w:rsidRDefault="0027640B" w:rsidP="0027640B">
            <w:pPr>
              <w:spacing w:after="0" w:line="240" w:lineRule="auto"/>
              <w:jc w:val="right"/>
              <w:rPr>
                <w:rFonts w:ascii="Arial" w:eastAsia="Times New Roman" w:hAnsi="Arial" w:cs="Arial"/>
                <w:b/>
                <w:bCs/>
                <w:sz w:val="20"/>
                <w:szCs w:val="20"/>
              </w:rPr>
            </w:pPr>
            <w:r w:rsidRPr="0027640B">
              <w:rPr>
                <w:rFonts w:ascii="Arial" w:eastAsia="Times New Roman" w:hAnsi="Arial" w:cs="Arial"/>
                <w:b/>
                <w:bCs/>
                <w:sz w:val="20"/>
                <w:szCs w:val="20"/>
              </w:rPr>
              <w:t>0.119</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0.079</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0.099</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100 </w:t>
            </w:r>
            <w:proofErr w:type="spellStart"/>
            <w:r w:rsidRPr="0027640B">
              <w:rPr>
                <w:rFonts w:ascii="Arial" w:eastAsia="Times New Roman" w:hAnsi="Arial" w:cs="Arial"/>
                <w:b/>
                <w:bCs/>
                <w:sz w:val="20"/>
                <w:szCs w:val="20"/>
              </w:rPr>
              <w:t>hr</w:t>
            </w:r>
            <w:proofErr w:type="spellEnd"/>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0.216</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0.271</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0.244</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100 </w:t>
            </w:r>
            <w:proofErr w:type="spellStart"/>
            <w:r w:rsidRPr="0027640B">
              <w:rPr>
                <w:rFonts w:ascii="Arial" w:eastAsia="Times New Roman" w:hAnsi="Arial" w:cs="Arial"/>
                <w:b/>
                <w:bCs/>
                <w:sz w:val="20"/>
                <w:szCs w:val="20"/>
              </w:rPr>
              <w:t>hr</w:t>
            </w:r>
            <w:proofErr w:type="spellEnd"/>
          </w:p>
        </w:tc>
        <w:tc>
          <w:tcPr>
            <w:tcW w:w="0" w:type="auto"/>
            <w:shd w:val="clear" w:color="000000" w:fill="FFCC00"/>
            <w:noWrap/>
            <w:vAlign w:val="bottom"/>
            <w:hideMark/>
          </w:tcPr>
          <w:p w:rsidR="0027640B" w:rsidRPr="0027640B" w:rsidRDefault="0027640B" w:rsidP="0027640B">
            <w:pPr>
              <w:spacing w:after="0" w:line="240" w:lineRule="auto"/>
              <w:jc w:val="right"/>
              <w:rPr>
                <w:rFonts w:ascii="Arial" w:eastAsia="Times New Roman" w:hAnsi="Arial" w:cs="Arial"/>
                <w:b/>
                <w:bCs/>
                <w:sz w:val="20"/>
                <w:szCs w:val="20"/>
              </w:rPr>
            </w:pPr>
            <w:r w:rsidRPr="0027640B">
              <w:rPr>
                <w:rFonts w:ascii="Arial" w:eastAsia="Times New Roman" w:hAnsi="Arial" w:cs="Arial"/>
                <w:b/>
                <w:bCs/>
                <w:sz w:val="20"/>
                <w:szCs w:val="20"/>
              </w:rPr>
              <w:t>0.216</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0.222</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0.219</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1000 </w:t>
            </w:r>
            <w:proofErr w:type="spellStart"/>
            <w:r w:rsidRPr="0027640B">
              <w:rPr>
                <w:rFonts w:ascii="Arial" w:eastAsia="Times New Roman" w:hAnsi="Arial" w:cs="Arial"/>
                <w:b/>
                <w:bCs/>
                <w:sz w:val="20"/>
                <w:szCs w:val="20"/>
              </w:rPr>
              <w:t>hr</w:t>
            </w:r>
            <w:proofErr w:type="spellEnd"/>
            <w:r w:rsidRPr="0027640B">
              <w:rPr>
                <w:rFonts w:ascii="Arial" w:eastAsia="Times New Roman" w:hAnsi="Arial" w:cs="Arial"/>
                <w:b/>
                <w:bCs/>
                <w:sz w:val="20"/>
                <w:szCs w:val="20"/>
              </w:rPr>
              <w:t xml:space="preserve"> Solid</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0.549</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3.428</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1.989</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1000 </w:t>
            </w:r>
            <w:proofErr w:type="spellStart"/>
            <w:r w:rsidRPr="0027640B">
              <w:rPr>
                <w:rFonts w:ascii="Arial" w:eastAsia="Times New Roman" w:hAnsi="Arial" w:cs="Arial"/>
                <w:b/>
                <w:bCs/>
                <w:sz w:val="20"/>
                <w:szCs w:val="20"/>
              </w:rPr>
              <w:t>hr</w:t>
            </w:r>
            <w:proofErr w:type="spellEnd"/>
            <w:r w:rsidRPr="0027640B">
              <w:rPr>
                <w:rFonts w:ascii="Arial" w:eastAsia="Times New Roman" w:hAnsi="Arial" w:cs="Arial"/>
                <w:b/>
                <w:bCs/>
                <w:sz w:val="20"/>
                <w:szCs w:val="20"/>
              </w:rPr>
              <w:t xml:space="preserve"> Solid</w:t>
            </w:r>
          </w:p>
        </w:tc>
        <w:tc>
          <w:tcPr>
            <w:tcW w:w="0" w:type="auto"/>
            <w:shd w:val="clear" w:color="000000" w:fill="FFCC00"/>
            <w:noWrap/>
            <w:vAlign w:val="bottom"/>
            <w:hideMark/>
          </w:tcPr>
          <w:p w:rsidR="0027640B" w:rsidRPr="0027640B" w:rsidRDefault="0027640B" w:rsidP="0027640B">
            <w:pPr>
              <w:spacing w:after="0" w:line="240" w:lineRule="auto"/>
              <w:jc w:val="right"/>
              <w:rPr>
                <w:rFonts w:ascii="Arial" w:eastAsia="Times New Roman" w:hAnsi="Arial" w:cs="Arial"/>
                <w:b/>
                <w:bCs/>
                <w:sz w:val="20"/>
                <w:szCs w:val="20"/>
              </w:rPr>
            </w:pPr>
            <w:r w:rsidRPr="0027640B">
              <w:rPr>
                <w:rFonts w:ascii="Arial" w:eastAsia="Times New Roman" w:hAnsi="Arial" w:cs="Arial"/>
                <w:b/>
                <w:bCs/>
                <w:sz w:val="20"/>
                <w:szCs w:val="20"/>
              </w:rPr>
              <w:t>0.476</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2.746</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1.611</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1000 </w:t>
            </w:r>
            <w:proofErr w:type="spellStart"/>
            <w:r w:rsidRPr="0027640B">
              <w:rPr>
                <w:rFonts w:ascii="Arial" w:eastAsia="Times New Roman" w:hAnsi="Arial" w:cs="Arial"/>
                <w:b/>
                <w:bCs/>
                <w:sz w:val="20"/>
                <w:szCs w:val="20"/>
              </w:rPr>
              <w:t>hr</w:t>
            </w:r>
            <w:proofErr w:type="spellEnd"/>
            <w:r w:rsidRPr="0027640B">
              <w:rPr>
                <w:rFonts w:ascii="Arial" w:eastAsia="Times New Roman" w:hAnsi="Arial" w:cs="Arial"/>
                <w:b/>
                <w:bCs/>
                <w:sz w:val="20"/>
                <w:szCs w:val="20"/>
              </w:rPr>
              <w:t xml:space="preserve"> Rotten</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1.796</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4.078</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2.937</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xml:space="preserve">1000 </w:t>
            </w:r>
            <w:proofErr w:type="spellStart"/>
            <w:r w:rsidRPr="0027640B">
              <w:rPr>
                <w:rFonts w:ascii="Arial" w:eastAsia="Times New Roman" w:hAnsi="Arial" w:cs="Arial"/>
                <w:b/>
                <w:bCs/>
                <w:sz w:val="20"/>
                <w:szCs w:val="20"/>
              </w:rPr>
              <w:t>hr</w:t>
            </w:r>
            <w:proofErr w:type="spellEnd"/>
            <w:r w:rsidRPr="0027640B">
              <w:rPr>
                <w:rFonts w:ascii="Arial" w:eastAsia="Times New Roman" w:hAnsi="Arial" w:cs="Arial"/>
                <w:b/>
                <w:bCs/>
                <w:sz w:val="20"/>
                <w:szCs w:val="20"/>
              </w:rPr>
              <w:t xml:space="preserve"> Rotten</w:t>
            </w:r>
          </w:p>
        </w:tc>
        <w:tc>
          <w:tcPr>
            <w:tcW w:w="0" w:type="auto"/>
            <w:shd w:val="clear" w:color="000000" w:fill="FFCC00"/>
            <w:noWrap/>
            <w:vAlign w:val="bottom"/>
            <w:hideMark/>
          </w:tcPr>
          <w:p w:rsidR="0027640B" w:rsidRPr="0027640B" w:rsidRDefault="0027640B" w:rsidP="0027640B">
            <w:pPr>
              <w:spacing w:after="0" w:line="240" w:lineRule="auto"/>
              <w:jc w:val="right"/>
              <w:rPr>
                <w:rFonts w:ascii="Arial" w:eastAsia="Times New Roman" w:hAnsi="Arial" w:cs="Arial"/>
                <w:b/>
                <w:bCs/>
                <w:sz w:val="20"/>
                <w:szCs w:val="20"/>
              </w:rPr>
            </w:pPr>
            <w:r w:rsidRPr="0027640B">
              <w:rPr>
                <w:rFonts w:ascii="Arial" w:eastAsia="Times New Roman" w:hAnsi="Arial" w:cs="Arial"/>
                <w:b/>
                <w:bCs/>
                <w:sz w:val="20"/>
                <w:szCs w:val="20"/>
              </w:rPr>
              <w:t>1.598</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2.423</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2.011</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 </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 </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 </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p>
        </w:tc>
        <w:tc>
          <w:tcPr>
            <w:tcW w:w="0" w:type="auto"/>
            <w:shd w:val="clear" w:color="000000" w:fill="FFCC00"/>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 </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 </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 </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Litter loading</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7.297</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9.035</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8.166</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Litter loading</w:t>
            </w:r>
          </w:p>
        </w:tc>
        <w:tc>
          <w:tcPr>
            <w:tcW w:w="0" w:type="auto"/>
            <w:shd w:val="clear" w:color="000000" w:fill="FFCC00"/>
            <w:noWrap/>
            <w:vAlign w:val="bottom"/>
            <w:hideMark/>
          </w:tcPr>
          <w:p w:rsidR="0027640B" w:rsidRPr="0027640B" w:rsidRDefault="0027640B" w:rsidP="0027640B">
            <w:pPr>
              <w:spacing w:after="0" w:line="240" w:lineRule="auto"/>
              <w:jc w:val="right"/>
              <w:rPr>
                <w:rFonts w:ascii="Arial" w:eastAsia="Times New Roman" w:hAnsi="Arial" w:cs="Arial"/>
                <w:b/>
                <w:bCs/>
                <w:sz w:val="20"/>
                <w:szCs w:val="20"/>
              </w:rPr>
            </w:pPr>
            <w:r w:rsidRPr="0027640B">
              <w:rPr>
                <w:rFonts w:ascii="Arial" w:eastAsia="Times New Roman" w:hAnsi="Arial" w:cs="Arial"/>
                <w:b/>
                <w:bCs/>
                <w:sz w:val="20"/>
                <w:szCs w:val="20"/>
              </w:rPr>
              <w:t>1.992</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1.485</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1.739</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Duff loading</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6.882</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11.426</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9.154</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Duff loading</w:t>
            </w:r>
          </w:p>
        </w:tc>
        <w:tc>
          <w:tcPr>
            <w:tcW w:w="0" w:type="auto"/>
            <w:shd w:val="clear" w:color="000000" w:fill="FFCC00"/>
            <w:noWrap/>
            <w:vAlign w:val="bottom"/>
            <w:hideMark/>
          </w:tcPr>
          <w:p w:rsidR="0027640B" w:rsidRPr="0027640B" w:rsidRDefault="0027640B" w:rsidP="0027640B">
            <w:pPr>
              <w:spacing w:after="0" w:line="240" w:lineRule="auto"/>
              <w:jc w:val="right"/>
              <w:rPr>
                <w:rFonts w:ascii="Arial" w:eastAsia="Times New Roman" w:hAnsi="Arial" w:cs="Arial"/>
                <w:b/>
                <w:bCs/>
                <w:sz w:val="20"/>
                <w:szCs w:val="20"/>
              </w:rPr>
            </w:pPr>
            <w:r w:rsidRPr="0027640B">
              <w:rPr>
                <w:rFonts w:ascii="Arial" w:eastAsia="Times New Roman" w:hAnsi="Arial" w:cs="Arial"/>
                <w:b/>
                <w:bCs/>
                <w:sz w:val="20"/>
                <w:szCs w:val="20"/>
              </w:rPr>
              <w:t>4.206</w:t>
            </w:r>
          </w:p>
        </w:tc>
        <w:tc>
          <w:tcPr>
            <w:tcW w:w="0" w:type="auto"/>
            <w:shd w:val="clear" w:color="000000" w:fill="FFCC00"/>
            <w:noWrap/>
            <w:vAlign w:val="bottom"/>
            <w:hideMark/>
          </w:tcPr>
          <w:p w:rsidR="0027640B" w:rsidRPr="0027640B" w:rsidRDefault="0027640B" w:rsidP="0027640B">
            <w:pPr>
              <w:spacing w:after="0" w:line="240" w:lineRule="auto"/>
              <w:jc w:val="center"/>
              <w:rPr>
                <w:rFonts w:ascii="Arial" w:eastAsia="Times New Roman" w:hAnsi="Arial" w:cs="Arial"/>
                <w:b/>
                <w:bCs/>
                <w:sz w:val="20"/>
                <w:szCs w:val="20"/>
              </w:rPr>
            </w:pPr>
            <w:r w:rsidRPr="0027640B">
              <w:rPr>
                <w:rFonts w:ascii="Arial" w:eastAsia="Times New Roman" w:hAnsi="Arial" w:cs="Arial"/>
                <w:b/>
                <w:bCs/>
                <w:sz w:val="20"/>
                <w:szCs w:val="20"/>
              </w:rPr>
              <w:t>8.475</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6.341</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Litter depth</w:t>
            </w:r>
          </w:p>
        </w:tc>
        <w:tc>
          <w:tcPr>
            <w:tcW w:w="0" w:type="auto"/>
            <w:shd w:val="clear" w:color="000000" w:fill="CCFFCC"/>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1.54</w:t>
            </w:r>
          </w:p>
        </w:tc>
        <w:tc>
          <w:tcPr>
            <w:tcW w:w="0" w:type="auto"/>
            <w:shd w:val="clear" w:color="000000" w:fill="CCFFCC"/>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1.84</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1.69</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Litter depth</w:t>
            </w:r>
          </w:p>
        </w:tc>
        <w:tc>
          <w:tcPr>
            <w:tcW w:w="0" w:type="auto"/>
            <w:shd w:val="clear" w:color="000000" w:fill="CCFFCC"/>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0.35</w:t>
            </w:r>
          </w:p>
        </w:tc>
        <w:tc>
          <w:tcPr>
            <w:tcW w:w="0" w:type="auto"/>
            <w:shd w:val="clear" w:color="000000" w:fill="CCFFCC"/>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0.30</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0.32</w:t>
            </w:r>
          </w:p>
        </w:tc>
      </w:tr>
      <w:tr w:rsidR="0027640B" w:rsidRPr="0027640B" w:rsidTr="00E700A8">
        <w:trPr>
          <w:trHeight w:val="255"/>
        </w:trPr>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Duff depth</w:t>
            </w:r>
          </w:p>
        </w:tc>
        <w:tc>
          <w:tcPr>
            <w:tcW w:w="0" w:type="auto"/>
            <w:shd w:val="clear" w:color="000000" w:fill="CCFFCC"/>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0.84</w:t>
            </w:r>
          </w:p>
        </w:tc>
        <w:tc>
          <w:tcPr>
            <w:tcW w:w="0" w:type="auto"/>
            <w:shd w:val="clear" w:color="000000" w:fill="CCFFCC"/>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1.23</w:t>
            </w:r>
          </w:p>
        </w:tc>
        <w:tc>
          <w:tcPr>
            <w:tcW w:w="0" w:type="auto"/>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1.04</w:t>
            </w: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sz w:val="20"/>
                <w:szCs w:val="20"/>
              </w:rPr>
            </w:pPr>
          </w:p>
        </w:tc>
        <w:tc>
          <w:tcPr>
            <w:tcW w:w="0" w:type="auto"/>
            <w:shd w:val="clear" w:color="auto" w:fill="auto"/>
            <w:noWrap/>
            <w:vAlign w:val="bottom"/>
            <w:hideMark/>
          </w:tcPr>
          <w:p w:rsidR="0027640B" w:rsidRPr="0027640B" w:rsidRDefault="0027640B" w:rsidP="0027640B">
            <w:pPr>
              <w:spacing w:after="0" w:line="240" w:lineRule="auto"/>
              <w:rPr>
                <w:rFonts w:ascii="Arial" w:eastAsia="Times New Roman" w:hAnsi="Arial" w:cs="Arial"/>
                <w:b/>
                <w:bCs/>
                <w:sz w:val="20"/>
                <w:szCs w:val="20"/>
              </w:rPr>
            </w:pPr>
            <w:r w:rsidRPr="0027640B">
              <w:rPr>
                <w:rFonts w:ascii="Arial" w:eastAsia="Times New Roman" w:hAnsi="Arial" w:cs="Arial"/>
                <w:b/>
                <w:bCs/>
                <w:sz w:val="20"/>
                <w:szCs w:val="20"/>
              </w:rPr>
              <w:t>Duff depth</w:t>
            </w:r>
          </w:p>
        </w:tc>
        <w:tc>
          <w:tcPr>
            <w:tcW w:w="0" w:type="auto"/>
            <w:shd w:val="clear" w:color="000000" w:fill="CCFFCC"/>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0.50</w:t>
            </w:r>
          </w:p>
        </w:tc>
        <w:tc>
          <w:tcPr>
            <w:tcW w:w="0" w:type="auto"/>
            <w:shd w:val="clear" w:color="000000" w:fill="CCFFCC"/>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0.92</w:t>
            </w:r>
          </w:p>
        </w:tc>
        <w:tc>
          <w:tcPr>
            <w:tcW w:w="1447" w:type="dxa"/>
            <w:shd w:val="clear" w:color="000000" w:fill="92D050"/>
            <w:noWrap/>
            <w:vAlign w:val="bottom"/>
            <w:hideMark/>
          </w:tcPr>
          <w:p w:rsidR="0027640B" w:rsidRPr="0027640B" w:rsidRDefault="0027640B" w:rsidP="0027640B">
            <w:pPr>
              <w:spacing w:after="0" w:line="240" w:lineRule="auto"/>
              <w:jc w:val="center"/>
              <w:rPr>
                <w:rFonts w:ascii="Arial" w:eastAsia="Times New Roman" w:hAnsi="Arial" w:cs="Arial"/>
                <w:sz w:val="20"/>
                <w:szCs w:val="20"/>
              </w:rPr>
            </w:pPr>
            <w:r w:rsidRPr="0027640B">
              <w:rPr>
                <w:rFonts w:ascii="Arial" w:eastAsia="Times New Roman" w:hAnsi="Arial" w:cs="Arial"/>
                <w:sz w:val="20"/>
                <w:szCs w:val="20"/>
              </w:rPr>
              <w:t>0.71</w:t>
            </w:r>
          </w:p>
        </w:tc>
      </w:tr>
    </w:tbl>
    <w:p w:rsidR="004809F4" w:rsidRPr="00280474" w:rsidRDefault="00AF0699" w:rsidP="00AF0699">
      <w:pPr>
        <w:pStyle w:val="NoSpacing"/>
        <w:rPr>
          <w:rFonts w:ascii="Tahoma" w:hAnsi="Tahoma" w:cs="Tahoma"/>
          <w:b/>
          <w:sz w:val="20"/>
          <w:szCs w:val="20"/>
        </w:rPr>
      </w:pPr>
      <w:r w:rsidRPr="00280474">
        <w:rPr>
          <w:rFonts w:ascii="Tahoma" w:hAnsi="Tahoma" w:cs="Tahoma"/>
          <w:b/>
          <w:sz w:val="20"/>
          <w:szCs w:val="20"/>
        </w:rPr>
        <w:lastRenderedPageBreak/>
        <w:t>Method of Data Collection</w:t>
      </w:r>
    </w:p>
    <w:p w:rsidR="00AF0699" w:rsidRPr="00280474" w:rsidRDefault="00AF0699" w:rsidP="00AF0699">
      <w:pPr>
        <w:pStyle w:val="NoSpacing"/>
        <w:rPr>
          <w:rFonts w:ascii="Tahoma" w:hAnsi="Tahoma" w:cs="Tahoma"/>
          <w:sz w:val="20"/>
          <w:szCs w:val="20"/>
        </w:rPr>
      </w:pPr>
      <w:r w:rsidRPr="00280474">
        <w:rPr>
          <w:rFonts w:ascii="Tahoma" w:hAnsi="Tahoma" w:cs="Tahoma"/>
          <w:sz w:val="20"/>
          <w:szCs w:val="20"/>
        </w:rPr>
        <w:t xml:space="preserve">Huron Zone fuels / fire monitoring begins with pre-burn brown’s transects, tree mortality inventory, and photo plots to determine the baseline fuel loading.  The number of plots is based on acreage, and the locations of the plots are generated randomly.  The method of collecting the data is standardized and is outlined in “Huron Shores Downed Woody Debris / Fire Effects Monitoring Plots Handbook”.  This handbook is designed as a quick reference for fire effects monitoring protocol on the Huron-Manistee.  The sampling design is based on James K. Brown’s “Handbook for Inventorying Downed Woody Material” (GTR-INT16, 1974), the National Park Service’s “Fire Effects Monitoring Handbook.”  The tree mortality inventory for the Huron zone has been developed with </w:t>
      </w:r>
      <w:r w:rsidR="00451642">
        <w:rPr>
          <w:rFonts w:ascii="Tahoma" w:hAnsi="Tahoma" w:cs="Tahoma"/>
          <w:sz w:val="20"/>
          <w:szCs w:val="20"/>
        </w:rPr>
        <w:t xml:space="preserve">resource specialists input from wildlife and forestry and focus on several variables including </w:t>
      </w:r>
      <w:r w:rsidRPr="00280474">
        <w:rPr>
          <w:rFonts w:ascii="Tahoma" w:hAnsi="Tahoma" w:cs="Tahoma"/>
          <w:sz w:val="20"/>
          <w:szCs w:val="20"/>
        </w:rPr>
        <w:t>bole char (figure 2 is an example of the tree mortality data sheet).  The information used in this summary was filtered to show only red pine data.</w:t>
      </w:r>
    </w:p>
    <w:p w:rsidR="00F249F5" w:rsidRPr="00280474" w:rsidRDefault="00AF0699" w:rsidP="00AF0699">
      <w:pPr>
        <w:pStyle w:val="NoSpacing"/>
        <w:rPr>
          <w:rFonts w:ascii="Tahoma" w:hAnsi="Tahoma" w:cs="Tahoma"/>
          <w:sz w:val="20"/>
          <w:szCs w:val="20"/>
        </w:rPr>
      </w:pPr>
      <w:r w:rsidRPr="00280474">
        <w:rPr>
          <w:rFonts w:ascii="Tahoma" w:hAnsi="Tahoma" w:cs="Tahoma"/>
          <w:sz w:val="20"/>
          <w:szCs w:val="20"/>
        </w:rPr>
        <w:t xml:space="preserve"> </w:t>
      </w:r>
    </w:p>
    <w:p w:rsidR="00AF0699" w:rsidRPr="00280474" w:rsidRDefault="00AF0699" w:rsidP="00AF0699">
      <w:pPr>
        <w:pStyle w:val="NoSpacing"/>
        <w:rPr>
          <w:rFonts w:ascii="Tahoma" w:hAnsi="Tahoma" w:cs="Tahoma"/>
          <w:sz w:val="20"/>
          <w:szCs w:val="20"/>
        </w:rPr>
      </w:pPr>
      <w:proofErr w:type="gramStart"/>
      <w:r w:rsidRPr="00280474">
        <w:rPr>
          <w:rFonts w:ascii="Tahoma" w:hAnsi="Tahoma" w:cs="Tahoma"/>
          <w:sz w:val="20"/>
          <w:szCs w:val="20"/>
        </w:rPr>
        <w:t>Figure 2.</w:t>
      </w:r>
      <w:proofErr w:type="gramEnd"/>
      <w:r w:rsidRPr="00280474">
        <w:rPr>
          <w:rFonts w:ascii="Tahoma" w:hAnsi="Tahoma" w:cs="Tahoma"/>
          <w:sz w:val="20"/>
          <w:szCs w:val="20"/>
        </w:rPr>
        <w:t xml:space="preserve">  Example of Tree Mortality Inventory</w:t>
      </w:r>
    </w:p>
    <w:p w:rsidR="00AF0699" w:rsidRPr="00AF0699" w:rsidRDefault="00AF0699" w:rsidP="00AF0699">
      <w:pPr>
        <w:pStyle w:val="NoSpacing"/>
        <w:rPr>
          <w:sz w:val="18"/>
          <w:szCs w:val="18"/>
        </w:rPr>
      </w:pPr>
      <w:r w:rsidRPr="00AF0699">
        <w:drawing>
          <wp:inline distT="0" distB="0" distL="0" distR="0" wp14:anchorId="0B0FE776" wp14:editId="7C2F45C6">
            <wp:extent cx="5943600" cy="1544675"/>
            <wp:effectExtent l="19050" t="19050" r="19050"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44675"/>
                    </a:xfrm>
                    <a:prstGeom prst="rect">
                      <a:avLst/>
                    </a:prstGeom>
                    <a:noFill/>
                    <a:ln>
                      <a:solidFill>
                        <a:schemeClr val="accent1"/>
                      </a:solidFill>
                    </a:ln>
                  </pic:spPr>
                </pic:pic>
              </a:graphicData>
            </a:graphic>
          </wp:inline>
        </w:drawing>
      </w:r>
    </w:p>
    <w:p w:rsidR="00FF792F" w:rsidRPr="004809F4" w:rsidRDefault="00FF792F" w:rsidP="00EC37A2">
      <w:pPr>
        <w:pStyle w:val="NoSpacing"/>
      </w:pPr>
    </w:p>
    <w:p w:rsidR="004C13EE" w:rsidRPr="00280474" w:rsidRDefault="004E3F68" w:rsidP="002259BC">
      <w:pPr>
        <w:pStyle w:val="BodyText3"/>
        <w:tabs>
          <w:tab w:val="left" w:pos="360"/>
        </w:tabs>
        <w:rPr>
          <w:b/>
          <w:color w:val="auto"/>
          <w:sz w:val="20"/>
          <w:szCs w:val="20"/>
        </w:rPr>
      </w:pPr>
      <w:r w:rsidRPr="00280474">
        <w:rPr>
          <w:b/>
          <w:color w:val="auto"/>
          <w:sz w:val="20"/>
          <w:szCs w:val="20"/>
        </w:rPr>
        <w:t>Summary</w:t>
      </w:r>
      <w:r w:rsidR="00EC37A2" w:rsidRPr="00280474">
        <w:rPr>
          <w:b/>
          <w:color w:val="auto"/>
          <w:sz w:val="20"/>
          <w:szCs w:val="20"/>
        </w:rPr>
        <w:t xml:space="preserve"> of Data</w:t>
      </w:r>
    </w:p>
    <w:p w:rsidR="00EC37A2" w:rsidRPr="00280474" w:rsidRDefault="00EC37A2" w:rsidP="00EF7A52">
      <w:pPr>
        <w:spacing w:before="100" w:beforeAutospacing="1" w:after="100" w:afterAutospacing="1" w:line="240" w:lineRule="auto"/>
        <w:outlineLvl w:val="0"/>
        <w:rPr>
          <w:rFonts w:ascii="Tahoma" w:eastAsia="Times New Roman" w:hAnsi="Tahoma" w:cs="Tahoma"/>
          <w:sz w:val="20"/>
          <w:szCs w:val="20"/>
        </w:rPr>
      </w:pPr>
      <w:r w:rsidRPr="00280474">
        <w:rPr>
          <w:rFonts w:ascii="Tahoma" w:eastAsia="Times New Roman" w:hAnsi="Tahoma" w:cs="Tahoma"/>
          <w:sz w:val="20"/>
          <w:szCs w:val="20"/>
        </w:rPr>
        <w:t xml:space="preserve">The bole char information has been presented with the burn day observations to illustrate the fire behavior and environmental conditions that contributed to the bole char (Table 2).  </w:t>
      </w:r>
    </w:p>
    <w:p w:rsidR="00EC37A2" w:rsidRPr="00280474" w:rsidRDefault="00EC37A2" w:rsidP="000E61C9">
      <w:pPr>
        <w:pStyle w:val="NoSpacing"/>
        <w:rPr>
          <w:rFonts w:ascii="Tahoma" w:eastAsia="Times New Roman" w:hAnsi="Tahoma" w:cs="Tahoma"/>
          <w:b/>
          <w:sz w:val="20"/>
          <w:szCs w:val="20"/>
        </w:rPr>
      </w:pPr>
      <w:proofErr w:type="gramStart"/>
      <w:r w:rsidRPr="00280474">
        <w:rPr>
          <w:rFonts w:ascii="Tahoma" w:eastAsia="Times New Roman" w:hAnsi="Tahoma" w:cs="Tahoma"/>
          <w:b/>
          <w:sz w:val="20"/>
          <w:szCs w:val="20"/>
        </w:rPr>
        <w:t>Table 2.</w:t>
      </w:r>
      <w:proofErr w:type="gramEnd"/>
      <w:r w:rsidRPr="00280474">
        <w:rPr>
          <w:rFonts w:ascii="Tahoma" w:eastAsia="Times New Roman" w:hAnsi="Tahoma" w:cs="Tahoma"/>
          <w:b/>
          <w:sz w:val="20"/>
          <w:szCs w:val="20"/>
        </w:rPr>
        <w:t xml:space="preserve">  Bole Char Data</w:t>
      </w:r>
    </w:p>
    <w:p w:rsidR="00EC37A2" w:rsidRDefault="000E61C9" w:rsidP="000E61C9">
      <w:pPr>
        <w:pStyle w:val="NoSpacing"/>
        <w:rPr>
          <w:rFonts w:ascii="Tahoma" w:eastAsia="Times New Roman" w:hAnsi="Tahoma" w:cs="Tahoma"/>
          <w:sz w:val="20"/>
          <w:szCs w:val="20"/>
        </w:rPr>
      </w:pPr>
      <w:r w:rsidRPr="000E61C9">
        <w:drawing>
          <wp:inline distT="0" distB="0" distL="0" distR="0" wp14:anchorId="24147F9D" wp14:editId="41705F02">
            <wp:extent cx="5947258" cy="18946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93472"/>
                    </a:xfrm>
                    <a:prstGeom prst="rect">
                      <a:avLst/>
                    </a:prstGeom>
                    <a:noFill/>
                    <a:ln>
                      <a:noFill/>
                    </a:ln>
                  </pic:spPr>
                </pic:pic>
              </a:graphicData>
            </a:graphic>
          </wp:inline>
        </w:drawing>
      </w:r>
    </w:p>
    <w:p w:rsidR="000E61C9" w:rsidRDefault="000E61C9" w:rsidP="000E61C9">
      <w:pPr>
        <w:pStyle w:val="NoSpacing"/>
        <w:rPr>
          <w:rFonts w:eastAsia="Times New Roman"/>
        </w:rPr>
      </w:pPr>
    </w:p>
    <w:p w:rsidR="00EC37A2" w:rsidRPr="00280474" w:rsidRDefault="000E61C9" w:rsidP="000E61C9">
      <w:pPr>
        <w:pStyle w:val="NoSpacing"/>
        <w:rPr>
          <w:rFonts w:ascii="Tahoma" w:eastAsia="Times New Roman" w:hAnsi="Tahoma" w:cs="Tahoma"/>
          <w:sz w:val="20"/>
          <w:szCs w:val="20"/>
        </w:rPr>
      </w:pPr>
      <w:r w:rsidRPr="00280474">
        <w:rPr>
          <w:rFonts w:ascii="Tahoma" w:eastAsia="Times New Roman" w:hAnsi="Tahoma" w:cs="Tahoma"/>
          <w:sz w:val="20"/>
          <w:szCs w:val="20"/>
        </w:rPr>
        <w:t xml:space="preserve">For some of the projects data was collected at 2 years post-burn and again at 5 years post-burn.  Table 3 illustrates all of the post-burn bole char data.  Most of the red pine </w:t>
      </w:r>
      <w:r w:rsidR="008D263F" w:rsidRPr="00280474">
        <w:rPr>
          <w:rFonts w:ascii="Tahoma" w:eastAsia="Times New Roman" w:hAnsi="Tahoma" w:cs="Tahoma"/>
          <w:sz w:val="20"/>
          <w:szCs w:val="20"/>
        </w:rPr>
        <w:t xml:space="preserve">had small amounts of char at or near the original post burn levels.  The General observations recorded for bole char a 5 years post-burn was of the base of the bole (up to 1’) where the bark was thickest still had significant bole char.  Higher on the bole were the bark started to become thinner and scalier the bole char was less prominent.  </w:t>
      </w:r>
    </w:p>
    <w:p w:rsidR="000E61C9" w:rsidRPr="00280474" w:rsidRDefault="000E61C9" w:rsidP="000E61C9">
      <w:pPr>
        <w:pStyle w:val="NoSpacing"/>
        <w:rPr>
          <w:rFonts w:ascii="Tahoma" w:eastAsia="Times New Roman" w:hAnsi="Tahoma" w:cs="Tahoma"/>
          <w:sz w:val="20"/>
          <w:szCs w:val="20"/>
        </w:rPr>
      </w:pPr>
    </w:p>
    <w:p w:rsidR="008D263F" w:rsidRPr="00280474" w:rsidRDefault="008D263F" w:rsidP="000E61C9">
      <w:pPr>
        <w:pStyle w:val="NoSpacing"/>
        <w:rPr>
          <w:rFonts w:ascii="Tahoma" w:eastAsia="Times New Roman" w:hAnsi="Tahoma" w:cs="Tahoma"/>
          <w:sz w:val="20"/>
          <w:szCs w:val="20"/>
        </w:rPr>
      </w:pPr>
    </w:p>
    <w:p w:rsidR="008D263F" w:rsidRDefault="008D263F" w:rsidP="000E61C9">
      <w:pPr>
        <w:pStyle w:val="NoSpacing"/>
        <w:rPr>
          <w:rFonts w:eastAsia="Times New Roman"/>
        </w:rPr>
      </w:pPr>
    </w:p>
    <w:p w:rsidR="008D263F" w:rsidRDefault="008D263F" w:rsidP="000E61C9">
      <w:pPr>
        <w:pStyle w:val="NoSpacing"/>
        <w:rPr>
          <w:rFonts w:eastAsia="Times New Roman"/>
        </w:rPr>
      </w:pPr>
    </w:p>
    <w:p w:rsidR="008D263F" w:rsidRDefault="008D263F" w:rsidP="000E61C9">
      <w:pPr>
        <w:pStyle w:val="NoSpacing"/>
        <w:rPr>
          <w:rFonts w:eastAsia="Times New Roman"/>
        </w:rPr>
      </w:pPr>
    </w:p>
    <w:p w:rsidR="008D263F" w:rsidRDefault="008D263F" w:rsidP="000E61C9">
      <w:pPr>
        <w:pStyle w:val="NoSpacing"/>
        <w:rPr>
          <w:rFonts w:eastAsia="Times New Roman"/>
        </w:rPr>
      </w:pPr>
    </w:p>
    <w:p w:rsidR="00C55CBB" w:rsidRPr="00280474" w:rsidRDefault="00C55CBB" w:rsidP="000E61C9">
      <w:pPr>
        <w:pStyle w:val="NoSpacing"/>
        <w:rPr>
          <w:rFonts w:ascii="Tahoma" w:eastAsia="Times New Roman" w:hAnsi="Tahoma" w:cs="Tahoma"/>
          <w:b/>
          <w:sz w:val="20"/>
          <w:szCs w:val="20"/>
        </w:rPr>
      </w:pPr>
      <w:bookmarkStart w:id="0" w:name="_GoBack"/>
      <w:bookmarkEnd w:id="0"/>
      <w:r w:rsidRPr="00280474">
        <w:rPr>
          <w:rFonts w:ascii="Tahoma" w:eastAsia="Times New Roman" w:hAnsi="Tahoma" w:cs="Tahoma"/>
          <w:b/>
          <w:sz w:val="20"/>
          <w:szCs w:val="20"/>
        </w:rPr>
        <w:lastRenderedPageBreak/>
        <w:t>Figure 3.  Bole Char in Red Pine</w:t>
      </w:r>
    </w:p>
    <w:p w:rsidR="00C55CBB" w:rsidRDefault="0099503B" w:rsidP="000E61C9">
      <w:pPr>
        <w:pStyle w:val="NoSpacing"/>
        <w:rPr>
          <w:rFonts w:eastAsia="Times New Roman"/>
        </w:rPr>
      </w:pPr>
      <w:r>
        <w:rPr>
          <w:rFonts w:eastAsia="Times New Roman"/>
          <w:noProof/>
        </w:rPr>
        <w:drawing>
          <wp:inline distT="0" distB="0" distL="0" distR="0" wp14:anchorId="07D5055E">
            <wp:extent cx="4008730" cy="29049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201" cy="2906007"/>
                    </a:xfrm>
                    <a:prstGeom prst="rect">
                      <a:avLst/>
                    </a:prstGeom>
                    <a:noFill/>
                  </pic:spPr>
                </pic:pic>
              </a:graphicData>
            </a:graphic>
          </wp:inline>
        </w:drawing>
      </w:r>
    </w:p>
    <w:p w:rsidR="008D263F" w:rsidRDefault="008D263F" w:rsidP="008D263F">
      <w:pPr>
        <w:pStyle w:val="NoSpacing"/>
        <w:rPr>
          <w:rFonts w:eastAsia="Times New Roman"/>
        </w:rPr>
      </w:pPr>
    </w:p>
    <w:tbl>
      <w:tblPr>
        <w:tblStyle w:val="TableGrid"/>
        <w:tblW w:w="0" w:type="auto"/>
        <w:tblLook w:val="04A0" w:firstRow="1" w:lastRow="0" w:firstColumn="1" w:lastColumn="0" w:noHBand="0" w:noVBand="1"/>
      </w:tblPr>
      <w:tblGrid>
        <w:gridCol w:w="4788"/>
        <w:gridCol w:w="4788"/>
      </w:tblGrid>
      <w:tr w:rsidR="000054ED" w:rsidTr="00903FBD">
        <w:tc>
          <w:tcPr>
            <w:tcW w:w="9576" w:type="dxa"/>
            <w:gridSpan w:val="2"/>
          </w:tcPr>
          <w:p w:rsidR="000054ED" w:rsidRDefault="000054ED" w:rsidP="008D263F">
            <w:pPr>
              <w:pStyle w:val="NoSpacing"/>
              <w:rPr>
                <w:rFonts w:eastAsia="Times New Roman"/>
              </w:rPr>
            </w:pPr>
            <w:r>
              <w:rPr>
                <w:rFonts w:eastAsia="Times New Roman"/>
              </w:rPr>
              <w:t>Examples of 5 years post-burn conditions Brittle landscape Prescribed Burn (taken 3’ apart)</w:t>
            </w:r>
          </w:p>
        </w:tc>
      </w:tr>
      <w:tr w:rsidR="00C55CBB" w:rsidTr="00C55CBB">
        <w:tc>
          <w:tcPr>
            <w:tcW w:w="4788" w:type="dxa"/>
          </w:tcPr>
          <w:p w:rsidR="00C55CBB" w:rsidRDefault="000054ED" w:rsidP="008D263F">
            <w:pPr>
              <w:pStyle w:val="NoSpacing"/>
              <w:rPr>
                <w:rFonts w:eastAsia="Times New Roman"/>
              </w:rPr>
            </w:pPr>
            <w:r>
              <w:rPr>
                <w:rFonts w:eastAsia="Times New Roman"/>
                <w:noProof/>
              </w:rPr>
              <w:drawing>
                <wp:inline distT="0" distB="0" distL="0" distR="0">
                  <wp:extent cx="1866424" cy="2487168"/>
                  <wp:effectExtent l="0" t="0" r="635" b="8890"/>
                  <wp:docPr id="11" name="Picture 11" descr="E:\Fuels Management\Fuels Monitoring\Bole Char\P515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uels Management\Fuels Monitoring\Bole Char\P51502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399" cy="2497796"/>
                          </a:xfrm>
                          <a:prstGeom prst="rect">
                            <a:avLst/>
                          </a:prstGeom>
                          <a:noFill/>
                          <a:ln>
                            <a:noFill/>
                          </a:ln>
                        </pic:spPr>
                      </pic:pic>
                    </a:graphicData>
                  </a:graphic>
                </wp:inline>
              </w:drawing>
            </w:r>
          </w:p>
        </w:tc>
        <w:tc>
          <w:tcPr>
            <w:tcW w:w="4788" w:type="dxa"/>
          </w:tcPr>
          <w:p w:rsidR="00C55CBB" w:rsidRDefault="000054ED" w:rsidP="008D263F">
            <w:pPr>
              <w:pStyle w:val="NoSpacing"/>
              <w:rPr>
                <w:rFonts w:eastAsia="Times New Roman"/>
              </w:rPr>
            </w:pPr>
            <w:r>
              <w:rPr>
                <w:rFonts w:eastAsia="Times New Roman"/>
                <w:noProof/>
              </w:rPr>
              <w:drawing>
                <wp:inline distT="0" distB="0" distL="0" distR="0">
                  <wp:extent cx="1865376" cy="2485771"/>
                  <wp:effectExtent l="0" t="0" r="1905" b="0"/>
                  <wp:docPr id="12" name="Picture 12" descr="E:\Fuels Management\Fuels Monitoring\Bole Char\P515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uels Management\Fuels Monitoring\Bole Char\P51502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4148" cy="2497460"/>
                          </a:xfrm>
                          <a:prstGeom prst="rect">
                            <a:avLst/>
                          </a:prstGeom>
                          <a:noFill/>
                          <a:ln>
                            <a:noFill/>
                          </a:ln>
                        </pic:spPr>
                      </pic:pic>
                    </a:graphicData>
                  </a:graphic>
                </wp:inline>
              </w:drawing>
            </w:r>
          </w:p>
        </w:tc>
      </w:tr>
    </w:tbl>
    <w:p w:rsidR="00C55CBB" w:rsidRDefault="00C55CBB" w:rsidP="008D263F">
      <w:pPr>
        <w:pStyle w:val="NoSpacing"/>
        <w:rPr>
          <w:rFonts w:eastAsia="Times New Roman"/>
        </w:rPr>
      </w:pPr>
    </w:p>
    <w:p w:rsidR="00CA1095" w:rsidRPr="00280474" w:rsidRDefault="00CA1095" w:rsidP="00EF7A52">
      <w:pPr>
        <w:spacing w:before="100" w:beforeAutospacing="1" w:after="100" w:afterAutospacing="1" w:line="240" w:lineRule="auto"/>
        <w:outlineLvl w:val="0"/>
        <w:rPr>
          <w:rFonts w:ascii="Tahoma" w:eastAsia="Times New Roman" w:hAnsi="Tahoma" w:cs="Tahoma"/>
          <w:sz w:val="20"/>
          <w:szCs w:val="20"/>
        </w:rPr>
      </w:pPr>
      <w:r w:rsidRPr="00280474">
        <w:rPr>
          <w:rFonts w:ascii="Tahoma" w:eastAsia="Times New Roman" w:hAnsi="Tahoma" w:cs="Tahoma"/>
          <w:sz w:val="20"/>
          <w:szCs w:val="20"/>
        </w:rPr>
        <w:t xml:space="preserve">The observations and data collected for the Huron Shores Fuels Monitoring Program is consistent with information found on Fire Effects Information System </w:t>
      </w:r>
      <w:r w:rsidRPr="00280474">
        <w:rPr>
          <w:rFonts w:ascii="Tahoma" w:eastAsia="Times New Roman" w:hAnsi="Tahoma" w:cs="Tahoma"/>
          <w:sz w:val="20"/>
          <w:szCs w:val="20"/>
          <w:u w:val="single"/>
        </w:rPr>
        <w:t>www.fs.fed.us/database/feis/</w:t>
      </w:r>
      <w:r w:rsidRPr="00280474">
        <w:rPr>
          <w:rFonts w:ascii="Tahoma" w:eastAsia="Times New Roman" w:hAnsi="Tahoma" w:cs="Tahoma"/>
          <w:sz w:val="20"/>
          <w:szCs w:val="20"/>
        </w:rPr>
        <w:t xml:space="preserve">. </w:t>
      </w:r>
      <w:r w:rsidR="00D0234E" w:rsidRPr="00280474">
        <w:rPr>
          <w:rFonts w:ascii="Tahoma" w:eastAsia="Times New Roman" w:hAnsi="Tahoma" w:cs="Tahoma"/>
          <w:sz w:val="20"/>
          <w:szCs w:val="20"/>
        </w:rPr>
        <w:t xml:space="preserve">  Additional q</w:t>
      </w:r>
      <w:r w:rsidRPr="00280474">
        <w:rPr>
          <w:rFonts w:ascii="Tahoma" w:eastAsia="Times New Roman" w:hAnsi="Tahoma" w:cs="Tahoma"/>
          <w:sz w:val="20"/>
          <w:szCs w:val="20"/>
        </w:rPr>
        <w:t xml:space="preserve">uestions or request for </w:t>
      </w:r>
      <w:r w:rsidR="00D0234E" w:rsidRPr="00280474">
        <w:rPr>
          <w:rFonts w:ascii="Tahoma" w:eastAsia="Times New Roman" w:hAnsi="Tahoma" w:cs="Tahoma"/>
          <w:sz w:val="20"/>
          <w:szCs w:val="20"/>
        </w:rPr>
        <w:t>plot data should be directed to:</w:t>
      </w:r>
      <w:r w:rsidRPr="00280474">
        <w:rPr>
          <w:rFonts w:ascii="Tahoma" w:eastAsia="Times New Roman" w:hAnsi="Tahoma" w:cs="Tahoma"/>
          <w:sz w:val="20"/>
          <w:szCs w:val="20"/>
        </w:rPr>
        <w:t xml:space="preserve"> </w:t>
      </w:r>
    </w:p>
    <w:p w:rsidR="00CA1095" w:rsidRPr="00280474" w:rsidRDefault="00CA1095" w:rsidP="00CA1095">
      <w:pPr>
        <w:spacing w:after="0" w:line="240" w:lineRule="auto"/>
        <w:outlineLvl w:val="0"/>
        <w:rPr>
          <w:rFonts w:ascii="Tahoma" w:eastAsia="Times New Roman" w:hAnsi="Tahoma" w:cs="Tahoma"/>
          <w:sz w:val="20"/>
          <w:szCs w:val="20"/>
        </w:rPr>
      </w:pPr>
      <w:r w:rsidRPr="00280474">
        <w:rPr>
          <w:rFonts w:ascii="Tahoma" w:eastAsia="Times New Roman" w:hAnsi="Tahoma" w:cs="Tahoma"/>
          <w:sz w:val="20"/>
          <w:szCs w:val="20"/>
        </w:rPr>
        <w:t xml:space="preserve">Brian Stearns  </w:t>
      </w:r>
    </w:p>
    <w:p w:rsidR="00CA1095" w:rsidRPr="00280474" w:rsidRDefault="00CA1095" w:rsidP="00CA1095">
      <w:pPr>
        <w:spacing w:after="0" w:line="240" w:lineRule="auto"/>
        <w:outlineLvl w:val="0"/>
        <w:rPr>
          <w:rFonts w:ascii="Tahoma" w:eastAsia="Times New Roman" w:hAnsi="Tahoma" w:cs="Tahoma"/>
          <w:sz w:val="20"/>
          <w:szCs w:val="20"/>
        </w:rPr>
      </w:pPr>
      <w:r w:rsidRPr="00280474">
        <w:rPr>
          <w:rFonts w:ascii="Tahoma" w:eastAsia="Times New Roman" w:hAnsi="Tahoma" w:cs="Tahoma"/>
          <w:sz w:val="20"/>
          <w:szCs w:val="20"/>
        </w:rPr>
        <w:t>Huron Shores Ranger Station</w:t>
      </w:r>
    </w:p>
    <w:p w:rsidR="00CA1095" w:rsidRPr="00280474" w:rsidRDefault="00CA1095" w:rsidP="00CA1095">
      <w:pPr>
        <w:spacing w:after="0" w:line="240" w:lineRule="auto"/>
        <w:outlineLvl w:val="0"/>
        <w:rPr>
          <w:rFonts w:ascii="Tahoma" w:eastAsia="Times New Roman" w:hAnsi="Tahoma" w:cs="Tahoma"/>
          <w:sz w:val="20"/>
          <w:szCs w:val="20"/>
        </w:rPr>
      </w:pPr>
      <w:r w:rsidRPr="00280474">
        <w:rPr>
          <w:rFonts w:ascii="Tahoma" w:eastAsia="Times New Roman" w:hAnsi="Tahoma" w:cs="Tahoma"/>
          <w:sz w:val="20"/>
          <w:szCs w:val="20"/>
        </w:rPr>
        <w:t xml:space="preserve">5761 N. </w:t>
      </w:r>
      <w:proofErr w:type="spellStart"/>
      <w:r w:rsidRPr="00280474">
        <w:rPr>
          <w:rFonts w:ascii="Tahoma" w:eastAsia="Times New Roman" w:hAnsi="Tahoma" w:cs="Tahoma"/>
          <w:sz w:val="20"/>
          <w:szCs w:val="20"/>
        </w:rPr>
        <w:t>Skeel</w:t>
      </w:r>
      <w:proofErr w:type="spellEnd"/>
      <w:r w:rsidRPr="00280474">
        <w:rPr>
          <w:rFonts w:ascii="Tahoma" w:eastAsia="Times New Roman" w:hAnsi="Tahoma" w:cs="Tahoma"/>
          <w:sz w:val="20"/>
          <w:szCs w:val="20"/>
        </w:rPr>
        <w:t xml:space="preserve"> Ave.</w:t>
      </w:r>
    </w:p>
    <w:p w:rsidR="00CA1095" w:rsidRPr="00280474" w:rsidRDefault="00D0234E" w:rsidP="00CA1095">
      <w:pPr>
        <w:spacing w:after="0" w:line="240" w:lineRule="auto"/>
        <w:outlineLvl w:val="0"/>
        <w:rPr>
          <w:rFonts w:ascii="Tahoma" w:eastAsia="Times New Roman" w:hAnsi="Tahoma" w:cs="Tahoma"/>
          <w:sz w:val="20"/>
          <w:szCs w:val="20"/>
        </w:rPr>
      </w:pPr>
      <w:r w:rsidRPr="00280474">
        <w:rPr>
          <w:rFonts w:ascii="Tahoma" w:eastAsia="Times New Roman" w:hAnsi="Tahoma" w:cs="Tahoma"/>
          <w:sz w:val="20"/>
          <w:szCs w:val="20"/>
        </w:rPr>
        <w:t xml:space="preserve">Oscoda, MI </w:t>
      </w:r>
      <w:r w:rsidR="00CA1095" w:rsidRPr="00280474">
        <w:rPr>
          <w:rFonts w:ascii="Tahoma" w:eastAsia="Times New Roman" w:hAnsi="Tahoma" w:cs="Tahoma"/>
          <w:sz w:val="20"/>
          <w:szCs w:val="20"/>
        </w:rPr>
        <w:t xml:space="preserve"> 48750</w:t>
      </w:r>
    </w:p>
    <w:p w:rsidR="00CA1095" w:rsidRPr="00280474" w:rsidRDefault="00CA1095" w:rsidP="00CA1095">
      <w:pPr>
        <w:spacing w:after="0" w:line="240" w:lineRule="auto"/>
        <w:outlineLvl w:val="0"/>
        <w:rPr>
          <w:rFonts w:ascii="Tahoma" w:eastAsia="Times New Roman" w:hAnsi="Tahoma" w:cs="Tahoma"/>
          <w:sz w:val="20"/>
          <w:szCs w:val="20"/>
        </w:rPr>
      </w:pPr>
      <w:r w:rsidRPr="00280474">
        <w:rPr>
          <w:rFonts w:ascii="Tahoma" w:eastAsia="Times New Roman" w:hAnsi="Tahoma" w:cs="Tahoma"/>
          <w:sz w:val="20"/>
          <w:szCs w:val="20"/>
        </w:rPr>
        <w:t>989-739-0728 ext. 3111</w:t>
      </w:r>
    </w:p>
    <w:p w:rsidR="00CA1095" w:rsidRPr="00280474" w:rsidRDefault="00CA1095" w:rsidP="00CA1095">
      <w:pPr>
        <w:spacing w:after="0" w:line="240" w:lineRule="auto"/>
        <w:outlineLvl w:val="0"/>
        <w:rPr>
          <w:rFonts w:ascii="Tahoma" w:eastAsia="Times New Roman" w:hAnsi="Tahoma" w:cs="Tahoma"/>
          <w:sz w:val="20"/>
          <w:szCs w:val="20"/>
        </w:rPr>
      </w:pPr>
      <w:r w:rsidRPr="00280474">
        <w:rPr>
          <w:rFonts w:ascii="Tahoma" w:eastAsia="Times New Roman" w:hAnsi="Tahoma" w:cs="Tahoma"/>
          <w:sz w:val="20"/>
          <w:szCs w:val="20"/>
        </w:rPr>
        <w:t>bstearns@fs.fed.us</w:t>
      </w:r>
    </w:p>
    <w:p w:rsidR="00CA1095" w:rsidRPr="00CA1095" w:rsidRDefault="00CA1095" w:rsidP="00CA1095">
      <w:pPr>
        <w:spacing w:before="100" w:beforeAutospacing="1" w:after="100" w:afterAutospacing="1" w:line="240" w:lineRule="auto"/>
        <w:outlineLvl w:val="0"/>
        <w:rPr>
          <w:rFonts w:ascii="Tahoma" w:eastAsia="Times New Roman" w:hAnsi="Tahoma" w:cs="Tahoma"/>
          <w:sz w:val="20"/>
          <w:szCs w:val="20"/>
        </w:rPr>
      </w:pPr>
    </w:p>
    <w:p w:rsidR="00F25909" w:rsidRDefault="00F25909" w:rsidP="002259BC">
      <w:pPr>
        <w:rPr>
          <w:rFonts w:ascii="Tahoma" w:hAnsi="Tahoma" w:cs="Tahoma"/>
          <w:b/>
          <w:sz w:val="18"/>
          <w:szCs w:val="18"/>
          <w:u w:val="single"/>
        </w:rPr>
      </w:pPr>
    </w:p>
    <w:p w:rsidR="00F25909" w:rsidRPr="00122E5A" w:rsidRDefault="00F25909" w:rsidP="002259BC">
      <w:pPr>
        <w:rPr>
          <w:rFonts w:ascii="Tahoma" w:hAnsi="Tahoma" w:cs="Tahoma"/>
          <w:b/>
          <w:sz w:val="18"/>
          <w:szCs w:val="18"/>
          <w:u w:val="single"/>
        </w:rPr>
      </w:pPr>
    </w:p>
    <w:p w:rsidR="00662AFD" w:rsidRPr="00280474" w:rsidRDefault="00F07304" w:rsidP="002259BC">
      <w:pPr>
        <w:rPr>
          <w:rFonts w:ascii="Tahoma" w:hAnsi="Tahoma" w:cs="Tahoma"/>
          <w:b/>
          <w:sz w:val="20"/>
          <w:szCs w:val="20"/>
          <w:u w:val="single"/>
        </w:rPr>
      </w:pPr>
      <w:r w:rsidRPr="00280474">
        <w:rPr>
          <w:rFonts w:ascii="Tahoma" w:hAnsi="Tahoma" w:cs="Tahoma"/>
          <w:b/>
          <w:sz w:val="20"/>
          <w:szCs w:val="20"/>
          <w:u w:val="single"/>
        </w:rPr>
        <w:t>References;</w:t>
      </w:r>
    </w:p>
    <w:p w:rsidR="007F12B8" w:rsidRPr="00280474" w:rsidRDefault="007F12B8" w:rsidP="002259BC">
      <w:pPr>
        <w:rPr>
          <w:rFonts w:ascii="Tahoma" w:hAnsi="Tahoma" w:cs="Tahoma"/>
          <w:b/>
          <w:sz w:val="20"/>
          <w:szCs w:val="20"/>
          <w:u w:val="single"/>
        </w:rPr>
      </w:pPr>
      <w:proofErr w:type="spellStart"/>
      <w:proofErr w:type="gramStart"/>
      <w:r w:rsidRPr="00280474">
        <w:rPr>
          <w:rFonts w:ascii="Tahoma" w:hAnsi="Tahoma" w:cs="Tahoma"/>
          <w:sz w:val="20"/>
          <w:szCs w:val="20"/>
        </w:rPr>
        <w:t>Neary</w:t>
      </w:r>
      <w:proofErr w:type="spellEnd"/>
      <w:r w:rsidRPr="00280474">
        <w:rPr>
          <w:rFonts w:ascii="Tahoma" w:hAnsi="Tahoma" w:cs="Tahoma"/>
          <w:sz w:val="20"/>
          <w:szCs w:val="20"/>
        </w:rPr>
        <w:t xml:space="preserve">, Daniel G.; Ryan, Kevin C.; </w:t>
      </w:r>
      <w:proofErr w:type="spellStart"/>
      <w:r w:rsidRPr="00280474">
        <w:rPr>
          <w:rFonts w:ascii="Tahoma" w:hAnsi="Tahoma" w:cs="Tahoma"/>
          <w:sz w:val="20"/>
          <w:szCs w:val="20"/>
        </w:rPr>
        <w:t>DeBano</w:t>
      </w:r>
      <w:proofErr w:type="spellEnd"/>
      <w:r w:rsidRPr="00280474">
        <w:rPr>
          <w:rFonts w:ascii="Tahoma" w:hAnsi="Tahoma" w:cs="Tahoma"/>
          <w:sz w:val="20"/>
          <w:szCs w:val="20"/>
        </w:rPr>
        <w:t>, Leonard F. 2005.</w:t>
      </w:r>
      <w:proofErr w:type="gramEnd"/>
      <w:r w:rsidRPr="00280474">
        <w:rPr>
          <w:rFonts w:ascii="Tahoma" w:hAnsi="Tahoma" w:cs="Tahoma"/>
          <w:sz w:val="20"/>
          <w:szCs w:val="20"/>
        </w:rPr>
        <w:t xml:space="preserve"> </w:t>
      </w:r>
      <w:proofErr w:type="spellStart"/>
      <w:r w:rsidRPr="00280474">
        <w:rPr>
          <w:rFonts w:ascii="Tahoma" w:hAnsi="Tahoma" w:cs="Tahoma"/>
          <w:sz w:val="20"/>
          <w:szCs w:val="20"/>
        </w:rPr>
        <w:t>Wildland</w:t>
      </w:r>
      <w:proofErr w:type="spellEnd"/>
      <w:r w:rsidRPr="00280474">
        <w:rPr>
          <w:rFonts w:ascii="Tahoma" w:hAnsi="Tahoma" w:cs="Tahoma"/>
          <w:sz w:val="20"/>
          <w:szCs w:val="20"/>
        </w:rPr>
        <w:t xml:space="preserve"> fire in ecosystems: effects of fire on soils and water. </w:t>
      </w:r>
      <w:proofErr w:type="gramStart"/>
      <w:r w:rsidRPr="00280474">
        <w:rPr>
          <w:rFonts w:ascii="Tahoma" w:hAnsi="Tahoma" w:cs="Tahoma"/>
          <w:sz w:val="20"/>
          <w:szCs w:val="20"/>
        </w:rPr>
        <w:t>Gen. Tech. Rep. RMRS-GTR-42-vol.4.</w:t>
      </w:r>
      <w:proofErr w:type="gramEnd"/>
      <w:r w:rsidRPr="00280474">
        <w:rPr>
          <w:rFonts w:ascii="Tahoma" w:hAnsi="Tahoma" w:cs="Tahoma"/>
          <w:sz w:val="20"/>
          <w:szCs w:val="20"/>
        </w:rPr>
        <w:t xml:space="preserve"> Ogden, UT: U.S. Department of Agriculture, Forest Service, Rocky Mountain Research Station. </w:t>
      </w:r>
      <w:proofErr w:type="gramStart"/>
      <w:r w:rsidRPr="00280474">
        <w:rPr>
          <w:rFonts w:ascii="Tahoma" w:hAnsi="Tahoma" w:cs="Tahoma"/>
          <w:sz w:val="20"/>
          <w:szCs w:val="20"/>
        </w:rPr>
        <w:t>250 p.</w:t>
      </w:r>
      <w:proofErr w:type="gramEnd"/>
    </w:p>
    <w:p w:rsidR="002259BC" w:rsidRPr="00280474" w:rsidRDefault="002259BC" w:rsidP="002259BC">
      <w:pPr>
        <w:rPr>
          <w:rFonts w:ascii="Tahoma" w:hAnsi="Tahoma" w:cs="Tahoma"/>
          <w:sz w:val="20"/>
          <w:szCs w:val="20"/>
        </w:rPr>
      </w:pPr>
      <w:r w:rsidRPr="00280474">
        <w:rPr>
          <w:rFonts w:ascii="Tahoma" w:hAnsi="Tahoma" w:cs="Tahoma"/>
          <w:sz w:val="20"/>
          <w:szCs w:val="20"/>
        </w:rPr>
        <w:t xml:space="preserve">Benzie, John W.  2005.  A Revised Manager’s Handbook for Red Pine in the North-Central States.  </w:t>
      </w:r>
      <w:proofErr w:type="gramStart"/>
      <w:r w:rsidRPr="00280474">
        <w:rPr>
          <w:rFonts w:ascii="Tahoma" w:hAnsi="Tahoma" w:cs="Tahoma"/>
          <w:sz w:val="20"/>
          <w:szCs w:val="20"/>
        </w:rPr>
        <w:t>USDA Forest Service Gen. Tech. Rep. NC-33, 22 p.</w:t>
      </w:r>
      <w:proofErr w:type="gramEnd"/>
      <w:r w:rsidRPr="00280474">
        <w:rPr>
          <w:rFonts w:ascii="Tahoma" w:hAnsi="Tahoma" w:cs="Tahoma"/>
          <w:sz w:val="20"/>
          <w:szCs w:val="20"/>
        </w:rPr>
        <w:t xml:space="preserve">  </w:t>
      </w:r>
      <w:proofErr w:type="gramStart"/>
      <w:r w:rsidRPr="00280474">
        <w:rPr>
          <w:rFonts w:ascii="Tahoma" w:hAnsi="Tahoma" w:cs="Tahoma"/>
          <w:sz w:val="20"/>
          <w:szCs w:val="20"/>
        </w:rPr>
        <w:t>North Central Forest Experiment Station, St. Paul, MN.</w:t>
      </w:r>
      <w:proofErr w:type="gramEnd"/>
    </w:p>
    <w:p w:rsidR="002259BC" w:rsidRDefault="00280474" w:rsidP="002259BC">
      <w:pPr>
        <w:rPr>
          <w:rFonts w:ascii="Tahoma" w:hAnsi="Tahoma" w:cs="Tahoma"/>
          <w:sz w:val="20"/>
          <w:szCs w:val="20"/>
        </w:rPr>
      </w:pPr>
      <w:r w:rsidRPr="00280474">
        <w:rPr>
          <w:rFonts w:ascii="Tahoma" w:hAnsi="Tahoma" w:cs="Tahoma"/>
          <w:sz w:val="20"/>
          <w:szCs w:val="20"/>
        </w:rPr>
        <w:t>James K. Brown’s “Handbook for Inventorying Downed Woody Material” (GTR-INT16, 1974)</w:t>
      </w:r>
    </w:p>
    <w:p w:rsidR="000157CF" w:rsidRPr="000157CF" w:rsidRDefault="000157CF" w:rsidP="000157CF">
      <w:pPr>
        <w:rPr>
          <w:rFonts w:ascii="Tahoma" w:hAnsi="Tahoma" w:cs="Tahoma"/>
          <w:sz w:val="20"/>
          <w:szCs w:val="20"/>
        </w:rPr>
      </w:pPr>
      <w:r w:rsidRPr="000157CF">
        <w:rPr>
          <w:rFonts w:ascii="Tahoma" w:hAnsi="Tahoma" w:cs="Tahoma"/>
          <w:sz w:val="20"/>
          <w:szCs w:val="20"/>
        </w:rPr>
        <w:t>The National Park Service’s “Fire Effects Monitoring Handbook.”  Fire Management Program Center</w:t>
      </w:r>
    </w:p>
    <w:p w:rsidR="000157CF" w:rsidRPr="000157CF" w:rsidRDefault="000157CF" w:rsidP="000157CF">
      <w:pPr>
        <w:rPr>
          <w:rFonts w:ascii="Tahoma" w:hAnsi="Tahoma" w:cs="Tahoma"/>
          <w:sz w:val="20"/>
          <w:szCs w:val="20"/>
        </w:rPr>
      </w:pPr>
      <w:r w:rsidRPr="000157CF">
        <w:rPr>
          <w:rFonts w:ascii="Tahoma" w:hAnsi="Tahoma" w:cs="Tahoma"/>
          <w:sz w:val="20"/>
          <w:szCs w:val="20"/>
        </w:rPr>
        <w:t>N</w:t>
      </w:r>
      <w:r>
        <w:rPr>
          <w:rFonts w:ascii="Tahoma" w:hAnsi="Tahoma" w:cs="Tahoma"/>
          <w:sz w:val="20"/>
          <w:szCs w:val="20"/>
        </w:rPr>
        <w:t>ational Interagency Fire Center</w:t>
      </w:r>
    </w:p>
    <w:p w:rsidR="000157CF" w:rsidRPr="00280474" w:rsidRDefault="000157CF" w:rsidP="000157CF">
      <w:pPr>
        <w:rPr>
          <w:rFonts w:ascii="Tahoma" w:hAnsi="Tahoma" w:cs="Tahoma"/>
          <w:sz w:val="20"/>
          <w:szCs w:val="20"/>
        </w:rPr>
      </w:pPr>
      <w:r w:rsidRPr="000157CF">
        <w:rPr>
          <w:rFonts w:ascii="Tahoma" w:hAnsi="Tahoma" w:cs="Tahoma"/>
          <w:sz w:val="20"/>
          <w:szCs w:val="20"/>
        </w:rPr>
        <w:t>Interagency Prescribed Fire, planning and implementation procedures reference guide.  (September 2006)</w:t>
      </w:r>
    </w:p>
    <w:p w:rsidR="008933BD" w:rsidRDefault="008933BD"/>
    <w:sectPr w:rsidR="008933BD" w:rsidSect="000A2B2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W1)">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BD"/>
    <w:rsid w:val="000054ED"/>
    <w:rsid w:val="000157CF"/>
    <w:rsid w:val="000A2B22"/>
    <w:rsid w:val="000C1CDE"/>
    <w:rsid w:val="000D3D66"/>
    <w:rsid w:val="000E61C9"/>
    <w:rsid w:val="00122E5A"/>
    <w:rsid w:val="00133994"/>
    <w:rsid w:val="00137990"/>
    <w:rsid w:val="001627A4"/>
    <w:rsid w:val="001C6F5D"/>
    <w:rsid w:val="001D6FD8"/>
    <w:rsid w:val="002259BC"/>
    <w:rsid w:val="0024019B"/>
    <w:rsid w:val="0025247F"/>
    <w:rsid w:val="0027640B"/>
    <w:rsid w:val="00277828"/>
    <w:rsid w:val="00280474"/>
    <w:rsid w:val="002E5A58"/>
    <w:rsid w:val="00300155"/>
    <w:rsid w:val="003678A4"/>
    <w:rsid w:val="00384595"/>
    <w:rsid w:val="00394079"/>
    <w:rsid w:val="003A1071"/>
    <w:rsid w:val="004077D9"/>
    <w:rsid w:val="004511B6"/>
    <w:rsid w:val="00451642"/>
    <w:rsid w:val="00474F47"/>
    <w:rsid w:val="004809F4"/>
    <w:rsid w:val="004C13EE"/>
    <w:rsid w:val="004E3F68"/>
    <w:rsid w:val="00524FAD"/>
    <w:rsid w:val="00537A67"/>
    <w:rsid w:val="005725F9"/>
    <w:rsid w:val="00631F15"/>
    <w:rsid w:val="00662AFD"/>
    <w:rsid w:val="00691266"/>
    <w:rsid w:val="006A0FE2"/>
    <w:rsid w:val="00741D39"/>
    <w:rsid w:val="0077019D"/>
    <w:rsid w:val="007F12B8"/>
    <w:rsid w:val="00806B3B"/>
    <w:rsid w:val="00865CCE"/>
    <w:rsid w:val="00885956"/>
    <w:rsid w:val="008933BD"/>
    <w:rsid w:val="008965C2"/>
    <w:rsid w:val="008A4049"/>
    <w:rsid w:val="008D263F"/>
    <w:rsid w:val="008E1FF7"/>
    <w:rsid w:val="00942FDA"/>
    <w:rsid w:val="0094512F"/>
    <w:rsid w:val="00963896"/>
    <w:rsid w:val="00965DAF"/>
    <w:rsid w:val="0099503B"/>
    <w:rsid w:val="009A7625"/>
    <w:rsid w:val="009D35D0"/>
    <w:rsid w:val="00A13171"/>
    <w:rsid w:val="00A62A16"/>
    <w:rsid w:val="00A851D0"/>
    <w:rsid w:val="00AE7364"/>
    <w:rsid w:val="00AF0699"/>
    <w:rsid w:val="00BB6E3E"/>
    <w:rsid w:val="00C23835"/>
    <w:rsid w:val="00C55789"/>
    <w:rsid w:val="00C55CBB"/>
    <w:rsid w:val="00CA1095"/>
    <w:rsid w:val="00CD2645"/>
    <w:rsid w:val="00D0234E"/>
    <w:rsid w:val="00D11188"/>
    <w:rsid w:val="00DD74E7"/>
    <w:rsid w:val="00E700A8"/>
    <w:rsid w:val="00EA41CA"/>
    <w:rsid w:val="00EC37A2"/>
    <w:rsid w:val="00EF7A52"/>
    <w:rsid w:val="00F043DA"/>
    <w:rsid w:val="00F07304"/>
    <w:rsid w:val="00F249F5"/>
    <w:rsid w:val="00F25909"/>
    <w:rsid w:val="00F854B6"/>
    <w:rsid w:val="00FB3AEC"/>
    <w:rsid w:val="00FD189E"/>
    <w:rsid w:val="00FD7B70"/>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2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2259BC"/>
    <w:pPr>
      <w:spacing w:after="0" w:line="240" w:lineRule="auto"/>
    </w:pPr>
    <w:rPr>
      <w:rFonts w:ascii="Tahoma" w:eastAsia="Times New Roman" w:hAnsi="Tahoma" w:cs="Tahoma"/>
      <w:color w:val="FF0000"/>
      <w:sz w:val="18"/>
      <w:szCs w:val="24"/>
    </w:rPr>
  </w:style>
  <w:style w:type="character" w:customStyle="1" w:styleId="BodyText3Char">
    <w:name w:val="Body Text 3 Char"/>
    <w:basedOn w:val="DefaultParagraphFont"/>
    <w:link w:val="BodyText3"/>
    <w:uiPriority w:val="99"/>
    <w:rsid w:val="002259BC"/>
    <w:rPr>
      <w:rFonts w:ascii="Tahoma" w:eastAsia="Times New Roman" w:hAnsi="Tahoma" w:cs="Tahoma"/>
      <w:color w:val="FF0000"/>
      <w:sz w:val="18"/>
      <w:szCs w:val="24"/>
    </w:rPr>
  </w:style>
  <w:style w:type="paragraph" w:styleId="FootnoteText">
    <w:name w:val="footnote text"/>
    <w:basedOn w:val="Normal"/>
    <w:link w:val="FootnoteTextChar"/>
    <w:uiPriority w:val="99"/>
    <w:semiHidden/>
    <w:rsid w:val="002259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259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AFD"/>
    <w:rPr>
      <w:rFonts w:ascii="Tahoma" w:hAnsi="Tahoma" w:cs="Tahoma"/>
      <w:sz w:val="16"/>
      <w:szCs w:val="16"/>
    </w:rPr>
  </w:style>
  <w:style w:type="table" w:styleId="TableGrid">
    <w:name w:val="Table Grid"/>
    <w:basedOn w:val="TableNormal"/>
    <w:uiPriority w:val="59"/>
    <w:rsid w:val="006A0F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6A0FE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8595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8595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8859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7F12B8"/>
    <w:rPr>
      <w:rFonts w:ascii="Times New Roman" w:eastAsia="Times New Roman" w:hAnsi="Times New Roman" w:cs="Times New Roman"/>
      <w:b/>
      <w:bCs/>
      <w:kern w:val="36"/>
      <w:sz w:val="48"/>
      <w:szCs w:val="48"/>
    </w:rPr>
  </w:style>
  <w:style w:type="paragraph" w:customStyle="1" w:styleId="CompanyName">
    <w:name w:val="Company Name"/>
    <w:basedOn w:val="BodyText"/>
    <w:rsid w:val="001D6FD8"/>
    <w:pPr>
      <w:keepLines/>
      <w:framePr w:w="8640" w:h="1440" w:wrap="notBeside" w:vAnchor="page" w:hAnchor="margin" w:xAlign="center" w:y="889"/>
      <w:spacing w:after="40" w:line="240" w:lineRule="atLeast"/>
      <w:jc w:val="center"/>
    </w:pPr>
    <w:rPr>
      <w:rFonts w:ascii="Arial" w:eastAsia="Times New Roman" w:hAnsi="Arial" w:cs="Arial"/>
      <w:caps/>
      <w:spacing w:val="75"/>
      <w:kern w:val="18"/>
    </w:rPr>
  </w:style>
  <w:style w:type="paragraph" w:styleId="Title">
    <w:name w:val="Title"/>
    <w:basedOn w:val="Normal"/>
    <w:next w:val="Subtitle"/>
    <w:link w:val="TitleChar"/>
    <w:qFormat/>
    <w:rsid w:val="001D6FD8"/>
    <w:pPr>
      <w:keepNext/>
      <w:keepLines/>
      <w:spacing w:before="140" w:after="0" w:line="240" w:lineRule="auto"/>
      <w:jc w:val="center"/>
    </w:pPr>
    <w:rPr>
      <w:rFonts w:ascii="Arial" w:eastAsia="Times New Roman" w:hAnsi="Arial" w:cs="Arial"/>
      <w:caps/>
      <w:spacing w:val="60"/>
      <w:kern w:val="20"/>
      <w:sz w:val="44"/>
      <w:szCs w:val="44"/>
    </w:rPr>
  </w:style>
  <w:style w:type="character" w:customStyle="1" w:styleId="TitleChar">
    <w:name w:val="Title Char"/>
    <w:basedOn w:val="DefaultParagraphFont"/>
    <w:link w:val="Title"/>
    <w:rsid w:val="001D6FD8"/>
    <w:rPr>
      <w:rFonts w:ascii="Arial" w:eastAsia="Times New Roman" w:hAnsi="Arial" w:cs="Arial"/>
      <w:caps/>
      <w:spacing w:val="60"/>
      <w:kern w:val="20"/>
      <w:sz w:val="44"/>
      <w:szCs w:val="44"/>
    </w:rPr>
  </w:style>
  <w:style w:type="paragraph" w:styleId="Subtitle">
    <w:name w:val="Subtitle"/>
    <w:basedOn w:val="Normal"/>
    <w:link w:val="SubtitleChar"/>
    <w:qFormat/>
    <w:rsid w:val="001D6FD8"/>
    <w:pPr>
      <w:spacing w:after="60" w:line="240" w:lineRule="auto"/>
      <w:jc w:val="center"/>
      <w:outlineLvl w:val="1"/>
    </w:pPr>
    <w:rPr>
      <w:rFonts w:ascii="Arial" w:eastAsia="Times New Roman" w:hAnsi="Arial" w:cs="Arial"/>
      <w:iCs/>
      <w:sz w:val="24"/>
      <w:szCs w:val="24"/>
    </w:rPr>
  </w:style>
  <w:style w:type="character" w:customStyle="1" w:styleId="SubtitleChar">
    <w:name w:val="Subtitle Char"/>
    <w:basedOn w:val="DefaultParagraphFont"/>
    <w:link w:val="Subtitle"/>
    <w:rsid w:val="001D6FD8"/>
    <w:rPr>
      <w:rFonts w:ascii="Arial" w:eastAsia="Times New Roman" w:hAnsi="Arial" w:cs="Arial"/>
      <w:iCs/>
      <w:sz w:val="24"/>
      <w:szCs w:val="24"/>
    </w:rPr>
  </w:style>
  <w:style w:type="paragraph" w:customStyle="1" w:styleId="SubtitleCover">
    <w:name w:val="Subtitle Cover"/>
    <w:basedOn w:val="Normal"/>
    <w:next w:val="BodyText"/>
    <w:rsid w:val="001D6FD8"/>
    <w:pPr>
      <w:keepNext/>
      <w:keepLines/>
      <w:pBdr>
        <w:top w:val="single" w:sz="6" w:space="12" w:color="808080"/>
      </w:pBdr>
      <w:spacing w:after="0" w:line="440" w:lineRule="atLeast"/>
      <w:jc w:val="center"/>
    </w:pPr>
    <w:rPr>
      <w:rFonts w:ascii="Arial" w:eastAsia="Times New Roman" w:hAnsi="Arial" w:cs="Arial"/>
      <w:caps/>
      <w:spacing w:val="30"/>
      <w:kern w:val="20"/>
      <w:sz w:val="36"/>
      <w:szCs w:val="36"/>
    </w:rPr>
  </w:style>
  <w:style w:type="paragraph" w:styleId="BodyText">
    <w:name w:val="Body Text"/>
    <w:basedOn w:val="Normal"/>
    <w:link w:val="BodyTextChar"/>
    <w:uiPriority w:val="99"/>
    <w:semiHidden/>
    <w:unhideWhenUsed/>
    <w:rsid w:val="001D6FD8"/>
    <w:pPr>
      <w:spacing w:after="120"/>
    </w:pPr>
  </w:style>
  <w:style w:type="character" w:customStyle="1" w:styleId="BodyTextChar">
    <w:name w:val="Body Text Char"/>
    <w:basedOn w:val="DefaultParagraphFont"/>
    <w:link w:val="BodyText"/>
    <w:uiPriority w:val="99"/>
    <w:semiHidden/>
    <w:rsid w:val="001D6FD8"/>
  </w:style>
  <w:style w:type="paragraph" w:styleId="NoSpacing">
    <w:name w:val="No Spacing"/>
    <w:uiPriority w:val="1"/>
    <w:qFormat/>
    <w:rsid w:val="00C557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2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2259BC"/>
    <w:pPr>
      <w:spacing w:after="0" w:line="240" w:lineRule="auto"/>
    </w:pPr>
    <w:rPr>
      <w:rFonts w:ascii="Tahoma" w:eastAsia="Times New Roman" w:hAnsi="Tahoma" w:cs="Tahoma"/>
      <w:color w:val="FF0000"/>
      <w:sz w:val="18"/>
      <w:szCs w:val="24"/>
    </w:rPr>
  </w:style>
  <w:style w:type="character" w:customStyle="1" w:styleId="BodyText3Char">
    <w:name w:val="Body Text 3 Char"/>
    <w:basedOn w:val="DefaultParagraphFont"/>
    <w:link w:val="BodyText3"/>
    <w:uiPriority w:val="99"/>
    <w:rsid w:val="002259BC"/>
    <w:rPr>
      <w:rFonts w:ascii="Tahoma" w:eastAsia="Times New Roman" w:hAnsi="Tahoma" w:cs="Tahoma"/>
      <w:color w:val="FF0000"/>
      <w:sz w:val="18"/>
      <w:szCs w:val="24"/>
    </w:rPr>
  </w:style>
  <w:style w:type="paragraph" w:styleId="FootnoteText">
    <w:name w:val="footnote text"/>
    <w:basedOn w:val="Normal"/>
    <w:link w:val="FootnoteTextChar"/>
    <w:uiPriority w:val="99"/>
    <w:semiHidden/>
    <w:rsid w:val="002259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259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AFD"/>
    <w:rPr>
      <w:rFonts w:ascii="Tahoma" w:hAnsi="Tahoma" w:cs="Tahoma"/>
      <w:sz w:val="16"/>
      <w:szCs w:val="16"/>
    </w:rPr>
  </w:style>
  <w:style w:type="table" w:styleId="TableGrid">
    <w:name w:val="Table Grid"/>
    <w:basedOn w:val="TableNormal"/>
    <w:uiPriority w:val="59"/>
    <w:rsid w:val="006A0F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6A0FE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8595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8595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8859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7F12B8"/>
    <w:rPr>
      <w:rFonts w:ascii="Times New Roman" w:eastAsia="Times New Roman" w:hAnsi="Times New Roman" w:cs="Times New Roman"/>
      <w:b/>
      <w:bCs/>
      <w:kern w:val="36"/>
      <w:sz w:val="48"/>
      <w:szCs w:val="48"/>
    </w:rPr>
  </w:style>
  <w:style w:type="paragraph" w:customStyle="1" w:styleId="CompanyName">
    <w:name w:val="Company Name"/>
    <w:basedOn w:val="BodyText"/>
    <w:rsid w:val="001D6FD8"/>
    <w:pPr>
      <w:keepLines/>
      <w:framePr w:w="8640" w:h="1440" w:wrap="notBeside" w:vAnchor="page" w:hAnchor="margin" w:xAlign="center" w:y="889"/>
      <w:spacing w:after="40" w:line="240" w:lineRule="atLeast"/>
      <w:jc w:val="center"/>
    </w:pPr>
    <w:rPr>
      <w:rFonts w:ascii="Arial" w:eastAsia="Times New Roman" w:hAnsi="Arial" w:cs="Arial"/>
      <w:caps/>
      <w:spacing w:val="75"/>
      <w:kern w:val="18"/>
    </w:rPr>
  </w:style>
  <w:style w:type="paragraph" w:styleId="Title">
    <w:name w:val="Title"/>
    <w:basedOn w:val="Normal"/>
    <w:next w:val="Subtitle"/>
    <w:link w:val="TitleChar"/>
    <w:qFormat/>
    <w:rsid w:val="001D6FD8"/>
    <w:pPr>
      <w:keepNext/>
      <w:keepLines/>
      <w:spacing w:before="140" w:after="0" w:line="240" w:lineRule="auto"/>
      <w:jc w:val="center"/>
    </w:pPr>
    <w:rPr>
      <w:rFonts w:ascii="Arial" w:eastAsia="Times New Roman" w:hAnsi="Arial" w:cs="Arial"/>
      <w:caps/>
      <w:spacing w:val="60"/>
      <w:kern w:val="20"/>
      <w:sz w:val="44"/>
      <w:szCs w:val="44"/>
    </w:rPr>
  </w:style>
  <w:style w:type="character" w:customStyle="1" w:styleId="TitleChar">
    <w:name w:val="Title Char"/>
    <w:basedOn w:val="DefaultParagraphFont"/>
    <w:link w:val="Title"/>
    <w:rsid w:val="001D6FD8"/>
    <w:rPr>
      <w:rFonts w:ascii="Arial" w:eastAsia="Times New Roman" w:hAnsi="Arial" w:cs="Arial"/>
      <w:caps/>
      <w:spacing w:val="60"/>
      <w:kern w:val="20"/>
      <w:sz w:val="44"/>
      <w:szCs w:val="44"/>
    </w:rPr>
  </w:style>
  <w:style w:type="paragraph" w:styleId="Subtitle">
    <w:name w:val="Subtitle"/>
    <w:basedOn w:val="Normal"/>
    <w:link w:val="SubtitleChar"/>
    <w:qFormat/>
    <w:rsid w:val="001D6FD8"/>
    <w:pPr>
      <w:spacing w:after="60" w:line="240" w:lineRule="auto"/>
      <w:jc w:val="center"/>
      <w:outlineLvl w:val="1"/>
    </w:pPr>
    <w:rPr>
      <w:rFonts w:ascii="Arial" w:eastAsia="Times New Roman" w:hAnsi="Arial" w:cs="Arial"/>
      <w:iCs/>
      <w:sz w:val="24"/>
      <w:szCs w:val="24"/>
    </w:rPr>
  </w:style>
  <w:style w:type="character" w:customStyle="1" w:styleId="SubtitleChar">
    <w:name w:val="Subtitle Char"/>
    <w:basedOn w:val="DefaultParagraphFont"/>
    <w:link w:val="Subtitle"/>
    <w:rsid w:val="001D6FD8"/>
    <w:rPr>
      <w:rFonts w:ascii="Arial" w:eastAsia="Times New Roman" w:hAnsi="Arial" w:cs="Arial"/>
      <w:iCs/>
      <w:sz w:val="24"/>
      <w:szCs w:val="24"/>
    </w:rPr>
  </w:style>
  <w:style w:type="paragraph" w:customStyle="1" w:styleId="SubtitleCover">
    <w:name w:val="Subtitle Cover"/>
    <w:basedOn w:val="Normal"/>
    <w:next w:val="BodyText"/>
    <w:rsid w:val="001D6FD8"/>
    <w:pPr>
      <w:keepNext/>
      <w:keepLines/>
      <w:pBdr>
        <w:top w:val="single" w:sz="6" w:space="12" w:color="808080"/>
      </w:pBdr>
      <w:spacing w:after="0" w:line="440" w:lineRule="atLeast"/>
      <w:jc w:val="center"/>
    </w:pPr>
    <w:rPr>
      <w:rFonts w:ascii="Arial" w:eastAsia="Times New Roman" w:hAnsi="Arial" w:cs="Arial"/>
      <w:caps/>
      <w:spacing w:val="30"/>
      <w:kern w:val="20"/>
      <w:sz w:val="36"/>
      <w:szCs w:val="36"/>
    </w:rPr>
  </w:style>
  <w:style w:type="paragraph" w:styleId="BodyText">
    <w:name w:val="Body Text"/>
    <w:basedOn w:val="Normal"/>
    <w:link w:val="BodyTextChar"/>
    <w:uiPriority w:val="99"/>
    <w:semiHidden/>
    <w:unhideWhenUsed/>
    <w:rsid w:val="001D6FD8"/>
    <w:pPr>
      <w:spacing w:after="120"/>
    </w:pPr>
  </w:style>
  <w:style w:type="character" w:customStyle="1" w:styleId="BodyTextChar">
    <w:name w:val="Body Text Char"/>
    <w:basedOn w:val="DefaultParagraphFont"/>
    <w:link w:val="BodyText"/>
    <w:uiPriority w:val="99"/>
    <w:semiHidden/>
    <w:rsid w:val="001D6FD8"/>
  </w:style>
  <w:style w:type="paragraph" w:styleId="NoSpacing">
    <w:name w:val="No Spacing"/>
    <w:uiPriority w:val="1"/>
    <w:qFormat/>
    <w:rsid w:val="00C55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Stearns</dc:creator>
  <cp:keywords/>
  <dc:description/>
  <cp:lastModifiedBy>Brian Stearns</cp:lastModifiedBy>
  <cp:revision>15</cp:revision>
  <dcterms:created xsi:type="dcterms:W3CDTF">2012-05-13T18:37:00Z</dcterms:created>
  <dcterms:modified xsi:type="dcterms:W3CDTF">2012-05-15T19:48:00Z</dcterms:modified>
</cp:coreProperties>
</file>